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55" w:rsidRPr="003B7B55" w:rsidRDefault="003B7B55" w:rsidP="003B7B55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bookmarkStart w:id="0" w:name="_GoBack"/>
      <w:bookmarkEnd w:id="0"/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Аналіз регуляторного впливу проекту рішення  </w:t>
      </w:r>
      <w:proofErr w:type="spellStart"/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Сватівської</w:t>
      </w:r>
      <w:proofErr w:type="spellEnd"/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 xml:space="preserve"> міської ради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uk-UA" w:eastAsia="ru-RU"/>
        </w:rPr>
        <w:t>«</w:t>
      </w:r>
      <w:r w:rsidRPr="003B7B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Про порядок та норматив відрахування частини прибутку (доходу)  комунальних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uk-UA" w:eastAsia="ru-RU"/>
        </w:rPr>
      </w:pPr>
      <w:r w:rsidRPr="003B7B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підприємств,  що вилучається до міського бюджету</w:t>
      </w: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uk-UA" w:eastAsia="ru-RU"/>
        </w:rPr>
        <w:t>».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Регуляторний орган: 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Сватівська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міська рада                        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Розробник документа: 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Сватівська</w:t>
      </w:r>
      <w:r w:rsidRPr="003B7B55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 міська рада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Відповідальна особа: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провідний спеціаліст – юрист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Ачкасова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С.О.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Контактний телефон: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3-66-27</w:t>
      </w:r>
    </w:p>
    <w:p w:rsidR="003B7B55" w:rsidRPr="003B7B55" w:rsidRDefault="003B7B55" w:rsidP="003B7B55">
      <w:pPr>
        <w:shd w:val="clear" w:color="auto" w:fill="FFFFFF"/>
        <w:spacing w:after="0" w:line="240" w:lineRule="auto"/>
        <w:ind w:left="435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>1.Опис проблеми, яку планується розв`язати шляхом державного регулювання.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       Проект рішення Сватівської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міської ради „ </w:t>
      </w:r>
      <w:r w:rsidRPr="003B7B5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Про порядок та норматив відрахування 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частини прибутку (доходу)  комунальних  підприємств,  що вилучається до міського бюджету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» є нормативно-правовим актом, який спрямований на правове регулювання відносин, що виникають при здійсненні відрахування частини чистого прибутку (доходу)  підприємств, установ, організацій, що перебувають у власності  територіальної громади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Сватівської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міської ради.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      Рішенням передбачається створення механізму відрахування частини чистого прибутку (доходу) комунальних унітарних підприємств та їх об`єднань, згідно зі ст. 26 Закону України „Про місцеве самоврядування в Україні”, ст. 69 Бюджетного кодексу України, з врахуванням положень  Порядку відрахування до державного бюджету частини чистого прибутку (доходу) державними унітарними підприємствами та їх об’єднаннями, затвердженого постановою Кабінету Міністрів України від 23.02.2011 року № 138.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    </w:t>
      </w: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 xml:space="preserve"> 2.  Цілі державного регулювання.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Метою прийняття цього рішення є: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- встановлення порядку і нормативу відрахування частини чистого прибутку (доходу)  підприємств, установ, організацій, що перебувають у власності  територіальної громади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Сватівської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міської ради.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- забезпечення ефективного та цілеспрямованого використання прибутку комунальних підприємств,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- покращення стану фінансування власних повноважень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Сватівської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міської ради.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>       3. Альтернатив запропонованому регуляторному акту немає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.</w:t>
      </w:r>
    </w:p>
    <w:p w:rsidR="003B7B55" w:rsidRPr="003B7B55" w:rsidRDefault="003B7B55" w:rsidP="009D5EC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       </w:t>
      </w: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 xml:space="preserve">4. Механізмом розв`язання проблеми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є затвердження Порядку і нормативу відрахування міськими комунальними підприємствами до міського бюджету частини чистого прибутку (доходу).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    </w:t>
      </w: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>5. Обґрунтування можливості досягнення визначених цілей у разі прийняття регуляторного акта.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   Рішення сприятиме формуванню умов для ефективного використання  комунального майна. Запропонований порядок враховує особливості організаційно-розпорядчих відносин, пов’язаних з  відрахуванням  частини чистого доходу комунальними підприємствами, що  вилучається до міського  бюджету, правові відносини між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Сватівською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 міською радою,  органами державного казначейства та державної 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фіскальної служби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при здійсненні відрахування  частини чистого прибутку (доходу) комунальних підприємств до бюджету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Сватівської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міської ради.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Запровадження зазначеного нормативного акта забезпечить досягнення поставленої мети.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           </w:t>
      </w: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>6. Визначення очікуваних результатів прийняття рішення 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Результатом прийняття регуляторного акту буде збільшення надходжень до  бюджету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Сватівсько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ї міської ради та покращення стану фінансування власних повноважень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Сватівської </w:t>
      </w: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міської  ради.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       </w:t>
      </w: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t>7. Обґрунтування терміну дії.</w:t>
      </w: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      Термін дії рішення необмежений. Зміни та доповнення до нього можуть вноситись у разі змін  чинного законодавства.</w:t>
      </w: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</w:p>
    <w:p w:rsid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</w:pP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/>
          <w:i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b/>
          <w:i/>
          <w:color w:val="333333"/>
          <w:sz w:val="20"/>
          <w:szCs w:val="20"/>
          <w:lang w:val="uk-UA" w:eastAsia="ru-RU"/>
        </w:rPr>
        <w:lastRenderedPageBreak/>
        <w:t>       8. Показники результативності регуляторного акта.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925"/>
        <w:gridCol w:w="3648"/>
      </w:tblGrid>
      <w:tr w:rsidR="003B7B55" w:rsidRPr="003B7B55" w:rsidTr="003B7B55">
        <w:trPr>
          <w:trHeight w:val="540"/>
          <w:jc w:val="center"/>
        </w:trPr>
        <w:tc>
          <w:tcPr>
            <w:tcW w:w="2805" w:type="dxa"/>
            <w:tcBorders>
              <w:top w:val="single" w:sz="8" w:space="0" w:color="5C5C5D"/>
              <w:left w:val="single" w:sz="8" w:space="0" w:color="5C5C5D"/>
              <w:bottom w:val="single" w:sz="8" w:space="0" w:color="5C5C5D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uk-UA" w:eastAsia="ru-RU"/>
              </w:rPr>
              <w:t>Сфера впливу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uk-UA" w:eastAsia="ru-RU"/>
              </w:rPr>
              <w:t>Вигоди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uk-UA" w:eastAsia="ru-RU"/>
              </w:rPr>
              <w:t>Витрати</w:t>
            </w:r>
          </w:p>
        </w:tc>
      </w:tr>
      <w:tr w:rsidR="003B7B55" w:rsidRPr="003B7B55" w:rsidTr="003B7B55">
        <w:trPr>
          <w:trHeight w:val="825"/>
          <w:jc w:val="center"/>
        </w:trPr>
        <w:tc>
          <w:tcPr>
            <w:tcW w:w="2805" w:type="dxa"/>
            <w:tcBorders>
              <w:top w:val="nil"/>
              <w:left w:val="single" w:sz="8" w:space="0" w:color="5C5C5D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Для територіальної  громади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Збільшення надходжень до місцевого бюджету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Відсутні</w:t>
            </w:r>
          </w:p>
        </w:tc>
      </w:tr>
      <w:tr w:rsidR="003B7B55" w:rsidRPr="003B7B55" w:rsidTr="003B7B55">
        <w:trPr>
          <w:trHeight w:val="1481"/>
          <w:jc w:val="center"/>
        </w:trPr>
        <w:tc>
          <w:tcPr>
            <w:tcW w:w="2805" w:type="dxa"/>
            <w:tcBorders>
              <w:top w:val="nil"/>
              <w:left w:val="single" w:sz="8" w:space="0" w:color="5C5C5D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Для  суб’єктів господарювання комунальної форми власності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Отримують прозорий механізм відносин щодо перерахування частини чистого прибутку до місцевого бюджету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Комунальні підприємства сплачуватимуть до місцевого  бюджету частину чистого прибутку за результатами фінансово-господарської діяльності за квартал</w:t>
            </w:r>
          </w:p>
        </w:tc>
      </w:tr>
      <w:tr w:rsidR="003B7B55" w:rsidRPr="003B7B55" w:rsidTr="003B7B55">
        <w:trPr>
          <w:trHeight w:val="825"/>
          <w:jc w:val="center"/>
        </w:trPr>
        <w:tc>
          <w:tcPr>
            <w:tcW w:w="2805" w:type="dxa"/>
            <w:tcBorders>
              <w:top w:val="nil"/>
              <w:left w:val="single" w:sz="8" w:space="0" w:color="5C5C5D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Для органу місцевого самоврядування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Наповнення  місцевого бюджету; ефективне використання майна, що перебуває у власності територіальної громади.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5C5C5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B7B55" w:rsidRPr="003B7B55" w:rsidRDefault="003B7B55" w:rsidP="003B7B5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val="uk-UA" w:eastAsia="ru-RU"/>
              </w:rPr>
            </w:pPr>
            <w:r w:rsidRPr="003B7B5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uk-UA" w:eastAsia="ru-RU"/>
              </w:rPr>
              <w:t>Відсутні</w:t>
            </w:r>
          </w:p>
        </w:tc>
      </w:tr>
    </w:tbl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 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9. Відстеження результативності регуляторного акта буде проводитись згідно з Законом України „Про засади державної регуляторної політики у сфері господарської діяльності ”.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  <w:t> 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 xml:space="preserve">Секретар ради                                                                                 </w:t>
      </w:r>
      <w:r>
        <w:rPr>
          <w:rFonts w:ascii="Verdana" w:eastAsia="Times New Roman" w:hAnsi="Verdana" w:cs="Times New Roman"/>
          <w:color w:val="333333"/>
          <w:sz w:val="20"/>
          <w:szCs w:val="20"/>
          <w:lang w:val="uk-UA" w:eastAsia="ru-RU"/>
        </w:rPr>
        <w:t>Д.Романенко</w:t>
      </w:r>
    </w:p>
    <w:p w:rsidR="003B7B55" w:rsidRPr="003B7B55" w:rsidRDefault="003B7B55" w:rsidP="003B7B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</w:pPr>
      <w:r w:rsidRPr="003B7B55">
        <w:rPr>
          <w:rFonts w:ascii="Helvetica" w:eastAsia="Times New Roman" w:hAnsi="Helvetica" w:cs="Times New Roman"/>
          <w:color w:val="333333"/>
          <w:sz w:val="20"/>
          <w:szCs w:val="20"/>
          <w:lang w:val="uk-UA" w:eastAsia="ru-RU"/>
        </w:rPr>
        <w:t> </w:t>
      </w:r>
    </w:p>
    <w:p w:rsidR="001B505F" w:rsidRPr="003B7B55" w:rsidRDefault="001B505F">
      <w:pPr>
        <w:rPr>
          <w:lang w:val="uk-UA"/>
        </w:rPr>
      </w:pPr>
    </w:p>
    <w:sectPr w:rsidR="001B505F" w:rsidRPr="003B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55"/>
    <w:rsid w:val="00006BD9"/>
    <w:rsid w:val="00014377"/>
    <w:rsid w:val="00033963"/>
    <w:rsid w:val="000557E6"/>
    <w:rsid w:val="00073CBE"/>
    <w:rsid w:val="00080400"/>
    <w:rsid w:val="0009333E"/>
    <w:rsid w:val="00096BF3"/>
    <w:rsid w:val="000B2BCC"/>
    <w:rsid w:val="000B4A1C"/>
    <w:rsid w:val="000B6A6A"/>
    <w:rsid w:val="000D1C01"/>
    <w:rsid w:val="000D27C3"/>
    <w:rsid w:val="000D5FC1"/>
    <w:rsid w:val="000D7AD4"/>
    <w:rsid w:val="000F4A49"/>
    <w:rsid w:val="000F526E"/>
    <w:rsid w:val="00102493"/>
    <w:rsid w:val="001075E2"/>
    <w:rsid w:val="00132517"/>
    <w:rsid w:val="001609F0"/>
    <w:rsid w:val="00161E10"/>
    <w:rsid w:val="001807A0"/>
    <w:rsid w:val="00182B45"/>
    <w:rsid w:val="00185A60"/>
    <w:rsid w:val="00191749"/>
    <w:rsid w:val="001924B1"/>
    <w:rsid w:val="001952B2"/>
    <w:rsid w:val="001A3C79"/>
    <w:rsid w:val="001B2F01"/>
    <w:rsid w:val="001B42B9"/>
    <w:rsid w:val="001B4826"/>
    <w:rsid w:val="001B505F"/>
    <w:rsid w:val="001D1B6F"/>
    <w:rsid w:val="001E24CF"/>
    <w:rsid w:val="001E26A1"/>
    <w:rsid w:val="001E43A9"/>
    <w:rsid w:val="001F07C5"/>
    <w:rsid w:val="001F3809"/>
    <w:rsid w:val="00210CB0"/>
    <w:rsid w:val="00212749"/>
    <w:rsid w:val="00224D53"/>
    <w:rsid w:val="002340DA"/>
    <w:rsid w:val="00234CA9"/>
    <w:rsid w:val="00242D58"/>
    <w:rsid w:val="002603AD"/>
    <w:rsid w:val="00261726"/>
    <w:rsid w:val="00267367"/>
    <w:rsid w:val="002725DD"/>
    <w:rsid w:val="002739C4"/>
    <w:rsid w:val="00285C1A"/>
    <w:rsid w:val="00287B50"/>
    <w:rsid w:val="00291465"/>
    <w:rsid w:val="00293E4F"/>
    <w:rsid w:val="002B16D8"/>
    <w:rsid w:val="002B7711"/>
    <w:rsid w:val="002D2414"/>
    <w:rsid w:val="002E2C3F"/>
    <w:rsid w:val="002F2C6A"/>
    <w:rsid w:val="002F44BC"/>
    <w:rsid w:val="002F691F"/>
    <w:rsid w:val="00302C76"/>
    <w:rsid w:val="0032377B"/>
    <w:rsid w:val="00324697"/>
    <w:rsid w:val="00326B98"/>
    <w:rsid w:val="0033389F"/>
    <w:rsid w:val="003462E2"/>
    <w:rsid w:val="00351D40"/>
    <w:rsid w:val="003613CD"/>
    <w:rsid w:val="003633A3"/>
    <w:rsid w:val="00366375"/>
    <w:rsid w:val="00371B74"/>
    <w:rsid w:val="003924A5"/>
    <w:rsid w:val="003A27CE"/>
    <w:rsid w:val="003A3224"/>
    <w:rsid w:val="003A55CE"/>
    <w:rsid w:val="003A5CE4"/>
    <w:rsid w:val="003A66CB"/>
    <w:rsid w:val="003B06F3"/>
    <w:rsid w:val="003B0EF4"/>
    <w:rsid w:val="003B27CB"/>
    <w:rsid w:val="003B7B55"/>
    <w:rsid w:val="003C2C8A"/>
    <w:rsid w:val="003C69DB"/>
    <w:rsid w:val="003C707B"/>
    <w:rsid w:val="003F6B50"/>
    <w:rsid w:val="003F6BC8"/>
    <w:rsid w:val="003F7A63"/>
    <w:rsid w:val="004011D4"/>
    <w:rsid w:val="004178A8"/>
    <w:rsid w:val="0042224C"/>
    <w:rsid w:val="00462E89"/>
    <w:rsid w:val="0046583C"/>
    <w:rsid w:val="00482E3E"/>
    <w:rsid w:val="00484E17"/>
    <w:rsid w:val="00492A6D"/>
    <w:rsid w:val="004A39E8"/>
    <w:rsid w:val="004B1530"/>
    <w:rsid w:val="004B22D7"/>
    <w:rsid w:val="004E1425"/>
    <w:rsid w:val="004E2464"/>
    <w:rsid w:val="005013F9"/>
    <w:rsid w:val="005065CA"/>
    <w:rsid w:val="00534954"/>
    <w:rsid w:val="0054041F"/>
    <w:rsid w:val="005446BE"/>
    <w:rsid w:val="00560D7A"/>
    <w:rsid w:val="0056491A"/>
    <w:rsid w:val="0057510F"/>
    <w:rsid w:val="00581076"/>
    <w:rsid w:val="00583F29"/>
    <w:rsid w:val="00584551"/>
    <w:rsid w:val="005B2E70"/>
    <w:rsid w:val="005C53FD"/>
    <w:rsid w:val="005D3B7E"/>
    <w:rsid w:val="005E0072"/>
    <w:rsid w:val="005E0085"/>
    <w:rsid w:val="005E0EEC"/>
    <w:rsid w:val="005E1B48"/>
    <w:rsid w:val="005E345C"/>
    <w:rsid w:val="005E3A83"/>
    <w:rsid w:val="005E5992"/>
    <w:rsid w:val="0060419C"/>
    <w:rsid w:val="00617B66"/>
    <w:rsid w:val="00622D78"/>
    <w:rsid w:val="006239C8"/>
    <w:rsid w:val="006310A7"/>
    <w:rsid w:val="00665EB6"/>
    <w:rsid w:val="00670449"/>
    <w:rsid w:val="006740A1"/>
    <w:rsid w:val="00683D23"/>
    <w:rsid w:val="006840C6"/>
    <w:rsid w:val="006875AE"/>
    <w:rsid w:val="00694231"/>
    <w:rsid w:val="00694A9C"/>
    <w:rsid w:val="0069667D"/>
    <w:rsid w:val="006B21CD"/>
    <w:rsid w:val="006B45A6"/>
    <w:rsid w:val="006B47CB"/>
    <w:rsid w:val="006B526C"/>
    <w:rsid w:val="006D1409"/>
    <w:rsid w:val="006D308A"/>
    <w:rsid w:val="006D6C40"/>
    <w:rsid w:val="006E2A25"/>
    <w:rsid w:val="006E2DEE"/>
    <w:rsid w:val="006E2FD7"/>
    <w:rsid w:val="00722F0E"/>
    <w:rsid w:val="0074795C"/>
    <w:rsid w:val="00781185"/>
    <w:rsid w:val="007912F9"/>
    <w:rsid w:val="0079402E"/>
    <w:rsid w:val="007B2547"/>
    <w:rsid w:val="007B45D6"/>
    <w:rsid w:val="007B5E32"/>
    <w:rsid w:val="007C4C27"/>
    <w:rsid w:val="007F0F20"/>
    <w:rsid w:val="00802A54"/>
    <w:rsid w:val="008130D0"/>
    <w:rsid w:val="00814DD2"/>
    <w:rsid w:val="00816920"/>
    <w:rsid w:val="0083087D"/>
    <w:rsid w:val="008315F5"/>
    <w:rsid w:val="008340B3"/>
    <w:rsid w:val="008343DE"/>
    <w:rsid w:val="00835211"/>
    <w:rsid w:val="00855846"/>
    <w:rsid w:val="00870561"/>
    <w:rsid w:val="00870DA6"/>
    <w:rsid w:val="008711A3"/>
    <w:rsid w:val="00883A38"/>
    <w:rsid w:val="00886F88"/>
    <w:rsid w:val="008A3CCC"/>
    <w:rsid w:val="008A6DFA"/>
    <w:rsid w:val="008B3948"/>
    <w:rsid w:val="008B3CE4"/>
    <w:rsid w:val="008C1B27"/>
    <w:rsid w:val="008C769A"/>
    <w:rsid w:val="008D0F45"/>
    <w:rsid w:val="008D4560"/>
    <w:rsid w:val="008E216F"/>
    <w:rsid w:val="008E41C2"/>
    <w:rsid w:val="008F2B98"/>
    <w:rsid w:val="00903E22"/>
    <w:rsid w:val="00905A61"/>
    <w:rsid w:val="009100BC"/>
    <w:rsid w:val="00917377"/>
    <w:rsid w:val="00933F64"/>
    <w:rsid w:val="00944C3D"/>
    <w:rsid w:val="00952C36"/>
    <w:rsid w:val="00961910"/>
    <w:rsid w:val="0096257A"/>
    <w:rsid w:val="0096343E"/>
    <w:rsid w:val="00964AA7"/>
    <w:rsid w:val="0098330A"/>
    <w:rsid w:val="00991148"/>
    <w:rsid w:val="009A098E"/>
    <w:rsid w:val="009A4DFB"/>
    <w:rsid w:val="009A5800"/>
    <w:rsid w:val="009B3BE7"/>
    <w:rsid w:val="009C3040"/>
    <w:rsid w:val="009C4C58"/>
    <w:rsid w:val="009C4CA2"/>
    <w:rsid w:val="009D0263"/>
    <w:rsid w:val="009D1F7B"/>
    <w:rsid w:val="009D2B3A"/>
    <w:rsid w:val="009D5EC7"/>
    <w:rsid w:val="009E6E02"/>
    <w:rsid w:val="009F1794"/>
    <w:rsid w:val="009F3ED4"/>
    <w:rsid w:val="00A059E0"/>
    <w:rsid w:val="00A06A79"/>
    <w:rsid w:val="00A173E2"/>
    <w:rsid w:val="00A23A57"/>
    <w:rsid w:val="00A25527"/>
    <w:rsid w:val="00A32E0E"/>
    <w:rsid w:val="00A33904"/>
    <w:rsid w:val="00A373AF"/>
    <w:rsid w:val="00A438A1"/>
    <w:rsid w:val="00A51ABF"/>
    <w:rsid w:val="00A62492"/>
    <w:rsid w:val="00A62505"/>
    <w:rsid w:val="00A62ACE"/>
    <w:rsid w:val="00A645CC"/>
    <w:rsid w:val="00A8329E"/>
    <w:rsid w:val="00A97B2A"/>
    <w:rsid w:val="00AA348F"/>
    <w:rsid w:val="00AA6FDC"/>
    <w:rsid w:val="00AC03F2"/>
    <w:rsid w:val="00AD621F"/>
    <w:rsid w:val="00AE7709"/>
    <w:rsid w:val="00AF42D9"/>
    <w:rsid w:val="00B12069"/>
    <w:rsid w:val="00B12390"/>
    <w:rsid w:val="00B1784D"/>
    <w:rsid w:val="00B2500E"/>
    <w:rsid w:val="00B47E47"/>
    <w:rsid w:val="00B57CB2"/>
    <w:rsid w:val="00B71C0F"/>
    <w:rsid w:val="00B775D1"/>
    <w:rsid w:val="00B83DC3"/>
    <w:rsid w:val="00BA191A"/>
    <w:rsid w:val="00BA4621"/>
    <w:rsid w:val="00BA5C9D"/>
    <w:rsid w:val="00BC065F"/>
    <w:rsid w:val="00BC2A7E"/>
    <w:rsid w:val="00BC6075"/>
    <w:rsid w:val="00BD03F7"/>
    <w:rsid w:val="00BD15A2"/>
    <w:rsid w:val="00BD17E0"/>
    <w:rsid w:val="00BE327B"/>
    <w:rsid w:val="00C02271"/>
    <w:rsid w:val="00C02EC0"/>
    <w:rsid w:val="00C066AD"/>
    <w:rsid w:val="00C41CD6"/>
    <w:rsid w:val="00C42C61"/>
    <w:rsid w:val="00C476D2"/>
    <w:rsid w:val="00C518A9"/>
    <w:rsid w:val="00C55932"/>
    <w:rsid w:val="00C8214B"/>
    <w:rsid w:val="00C86BBF"/>
    <w:rsid w:val="00C9223F"/>
    <w:rsid w:val="00CD17FB"/>
    <w:rsid w:val="00CF6CE2"/>
    <w:rsid w:val="00D00E2D"/>
    <w:rsid w:val="00D24517"/>
    <w:rsid w:val="00D27CAC"/>
    <w:rsid w:val="00D343C2"/>
    <w:rsid w:val="00D5034B"/>
    <w:rsid w:val="00D50A43"/>
    <w:rsid w:val="00D531C2"/>
    <w:rsid w:val="00D53A5F"/>
    <w:rsid w:val="00D641FE"/>
    <w:rsid w:val="00D823B4"/>
    <w:rsid w:val="00D83220"/>
    <w:rsid w:val="00D83D82"/>
    <w:rsid w:val="00D900E7"/>
    <w:rsid w:val="00D927BC"/>
    <w:rsid w:val="00D93256"/>
    <w:rsid w:val="00D9746E"/>
    <w:rsid w:val="00DA619B"/>
    <w:rsid w:val="00DB11A9"/>
    <w:rsid w:val="00DC5168"/>
    <w:rsid w:val="00DC715E"/>
    <w:rsid w:val="00DD1B69"/>
    <w:rsid w:val="00DD3416"/>
    <w:rsid w:val="00DD6D1D"/>
    <w:rsid w:val="00DE495F"/>
    <w:rsid w:val="00DE51F7"/>
    <w:rsid w:val="00DF074B"/>
    <w:rsid w:val="00DF5FA8"/>
    <w:rsid w:val="00E047F6"/>
    <w:rsid w:val="00E15C1E"/>
    <w:rsid w:val="00E222AE"/>
    <w:rsid w:val="00E23B58"/>
    <w:rsid w:val="00E453C5"/>
    <w:rsid w:val="00E50FDC"/>
    <w:rsid w:val="00E56EC4"/>
    <w:rsid w:val="00E61091"/>
    <w:rsid w:val="00E66C87"/>
    <w:rsid w:val="00E705EE"/>
    <w:rsid w:val="00E7505B"/>
    <w:rsid w:val="00E8136E"/>
    <w:rsid w:val="00E952A3"/>
    <w:rsid w:val="00EA53DE"/>
    <w:rsid w:val="00EB4663"/>
    <w:rsid w:val="00EC0676"/>
    <w:rsid w:val="00ED1762"/>
    <w:rsid w:val="00EE3812"/>
    <w:rsid w:val="00EE5235"/>
    <w:rsid w:val="00EE7669"/>
    <w:rsid w:val="00EF2FD7"/>
    <w:rsid w:val="00F22A10"/>
    <w:rsid w:val="00F374C6"/>
    <w:rsid w:val="00F47399"/>
    <w:rsid w:val="00F52B68"/>
    <w:rsid w:val="00F55FB5"/>
    <w:rsid w:val="00F633A4"/>
    <w:rsid w:val="00F662E9"/>
    <w:rsid w:val="00F67BCC"/>
    <w:rsid w:val="00F7396D"/>
    <w:rsid w:val="00F764D4"/>
    <w:rsid w:val="00F77475"/>
    <w:rsid w:val="00F83FF7"/>
    <w:rsid w:val="00F8487E"/>
    <w:rsid w:val="00FA0257"/>
    <w:rsid w:val="00FA3D64"/>
    <w:rsid w:val="00FC6FD5"/>
    <w:rsid w:val="00FD4886"/>
    <w:rsid w:val="00FE34AD"/>
    <w:rsid w:val="00FE7103"/>
    <w:rsid w:val="00FE739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8148-CA14-4936-88AB-E890293F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Lunev</cp:lastModifiedBy>
  <cp:revision>2</cp:revision>
  <dcterms:created xsi:type="dcterms:W3CDTF">2017-01-04T06:00:00Z</dcterms:created>
  <dcterms:modified xsi:type="dcterms:W3CDTF">2017-01-04T06:00:00Z</dcterms:modified>
</cp:coreProperties>
</file>