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09A" w:rsidRPr="0067709A" w:rsidRDefault="0067709A" w:rsidP="0067709A">
      <w:pPr>
        <w:spacing w:after="0" w:line="240" w:lineRule="auto"/>
        <w:jc w:val="center"/>
        <w:rPr>
          <w:rFonts w:ascii="Times New Roman" w:hAnsi="Times New Roman"/>
          <w:sz w:val="24"/>
          <w:szCs w:val="24"/>
          <w:lang w:val="uk-UA"/>
        </w:rPr>
      </w:pPr>
      <w:r w:rsidRPr="0067709A">
        <w:rPr>
          <w:rFonts w:ascii="Times New Roman" w:hAnsi="Times New Roman"/>
          <w:sz w:val="24"/>
          <w:szCs w:val="24"/>
          <w:lang w:val="uk-UA"/>
        </w:rPr>
        <w:t xml:space="preserve">                                                               Додаток 5 </w:t>
      </w:r>
    </w:p>
    <w:p w:rsidR="0067709A" w:rsidRPr="0067709A" w:rsidRDefault="00040340" w:rsidP="0067709A">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bookmarkStart w:id="0" w:name="_GoBack"/>
      <w:bookmarkEnd w:id="0"/>
    </w:p>
    <w:p w:rsidR="0067709A" w:rsidRPr="0067709A" w:rsidRDefault="0067709A" w:rsidP="0067709A">
      <w:pPr>
        <w:spacing w:after="0" w:line="240" w:lineRule="auto"/>
        <w:jc w:val="center"/>
        <w:rPr>
          <w:rFonts w:ascii="Times New Roman" w:hAnsi="Times New Roman"/>
          <w:sz w:val="24"/>
          <w:szCs w:val="24"/>
          <w:lang w:val="uk-UA"/>
        </w:rPr>
      </w:pPr>
    </w:p>
    <w:p w:rsidR="0067709A" w:rsidRPr="0067709A" w:rsidRDefault="0067709A" w:rsidP="0067709A">
      <w:pPr>
        <w:spacing w:after="0" w:line="240" w:lineRule="auto"/>
        <w:jc w:val="center"/>
        <w:rPr>
          <w:rFonts w:ascii="Times New Roman" w:hAnsi="Times New Roman"/>
          <w:b/>
          <w:sz w:val="24"/>
          <w:szCs w:val="24"/>
          <w:lang w:val="uk-UA"/>
        </w:rPr>
      </w:pPr>
      <w:r w:rsidRPr="0067709A">
        <w:rPr>
          <w:rFonts w:ascii="Times New Roman" w:hAnsi="Times New Roman"/>
          <w:b/>
          <w:sz w:val="24"/>
          <w:szCs w:val="24"/>
          <w:lang w:val="uk-UA"/>
        </w:rPr>
        <w:t>ПОЛОЖЕННЯ</w:t>
      </w:r>
    </w:p>
    <w:p w:rsidR="0067709A" w:rsidRPr="0067709A" w:rsidRDefault="0067709A" w:rsidP="0067709A">
      <w:pPr>
        <w:spacing w:after="0" w:line="240" w:lineRule="auto"/>
        <w:jc w:val="center"/>
        <w:rPr>
          <w:rFonts w:ascii="Times New Roman" w:hAnsi="Times New Roman"/>
          <w:b/>
          <w:sz w:val="24"/>
          <w:szCs w:val="24"/>
          <w:lang w:val="uk-UA"/>
        </w:rPr>
      </w:pPr>
      <w:r w:rsidRPr="0067709A">
        <w:rPr>
          <w:rFonts w:ascii="Times New Roman" w:hAnsi="Times New Roman"/>
          <w:b/>
          <w:sz w:val="24"/>
          <w:szCs w:val="24"/>
          <w:lang w:val="uk-UA"/>
        </w:rPr>
        <w:t>про туристичний збір</w:t>
      </w:r>
    </w:p>
    <w:p w:rsidR="0067709A" w:rsidRPr="0067709A" w:rsidRDefault="0067709A" w:rsidP="0067709A">
      <w:pPr>
        <w:spacing w:after="0" w:line="240" w:lineRule="auto"/>
        <w:jc w:val="center"/>
        <w:rPr>
          <w:rFonts w:ascii="Times New Roman" w:hAnsi="Times New Roman"/>
          <w:sz w:val="24"/>
          <w:szCs w:val="24"/>
          <w:lang w:val="uk-UA"/>
        </w:rPr>
      </w:pPr>
    </w:p>
    <w:p w:rsidR="0067709A" w:rsidRPr="0067709A"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b/>
          <w:i/>
          <w:sz w:val="24"/>
          <w:szCs w:val="24"/>
          <w:lang w:val="uk-UA"/>
        </w:rPr>
        <w:t>1. Туристичний збір</w:t>
      </w:r>
      <w:r w:rsidRPr="0067709A">
        <w:rPr>
          <w:rFonts w:ascii="Times New Roman" w:hAnsi="Times New Roman"/>
          <w:sz w:val="24"/>
          <w:szCs w:val="24"/>
          <w:lang w:val="uk-UA"/>
        </w:rPr>
        <w:t xml:space="preserve"> </w:t>
      </w:r>
      <w:r w:rsidRPr="0067709A">
        <w:rPr>
          <w:rFonts w:ascii="Times New Roman" w:hAnsi="Times New Roman"/>
          <w:sz w:val="24"/>
          <w:szCs w:val="24"/>
          <w:lang w:val="uk-UA"/>
        </w:rPr>
        <w:sym w:font="Symbol" w:char="F02D"/>
      </w:r>
      <w:r w:rsidRPr="0067709A">
        <w:rPr>
          <w:rFonts w:ascii="Times New Roman" w:hAnsi="Times New Roman"/>
          <w:sz w:val="24"/>
          <w:szCs w:val="24"/>
          <w:lang w:val="uk-UA"/>
        </w:rPr>
        <w:t xml:space="preserve"> це місцевий збір, кошти від якого зараховуються до місцевого бюджету.</w:t>
      </w:r>
    </w:p>
    <w:p w:rsidR="0067709A" w:rsidRPr="0067709A" w:rsidRDefault="0067709A" w:rsidP="0067709A">
      <w:pPr>
        <w:spacing w:after="0" w:line="240" w:lineRule="auto"/>
        <w:jc w:val="both"/>
        <w:rPr>
          <w:rFonts w:ascii="Times New Roman" w:hAnsi="Times New Roman"/>
          <w:sz w:val="24"/>
          <w:szCs w:val="24"/>
          <w:lang w:val="uk-UA"/>
        </w:rPr>
      </w:pPr>
    </w:p>
    <w:p w:rsidR="0067709A" w:rsidRPr="0067709A" w:rsidRDefault="0067709A" w:rsidP="0067709A">
      <w:pPr>
        <w:spacing w:after="0" w:line="240" w:lineRule="auto"/>
        <w:jc w:val="both"/>
        <w:rPr>
          <w:rFonts w:ascii="Times New Roman" w:hAnsi="Times New Roman"/>
          <w:b/>
          <w:i/>
          <w:sz w:val="24"/>
          <w:szCs w:val="24"/>
          <w:lang w:val="uk-UA"/>
        </w:rPr>
      </w:pPr>
      <w:r w:rsidRPr="0067709A">
        <w:rPr>
          <w:rFonts w:ascii="Times New Roman" w:hAnsi="Times New Roman"/>
          <w:b/>
          <w:i/>
          <w:sz w:val="24"/>
          <w:szCs w:val="24"/>
          <w:lang w:val="uk-UA"/>
        </w:rPr>
        <w:t>2. Платники збору</w:t>
      </w:r>
    </w:p>
    <w:p w:rsidR="0067709A" w:rsidRPr="0067709A"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sz w:val="24"/>
          <w:szCs w:val="24"/>
          <w:lang w:val="uk-UA"/>
        </w:rPr>
        <w:t>2.1. Платниками збору є громадяни України, іноземці, а також особи без громадянства, які прибувають на територію Сватівської міської ради, на якій діє рішення Сватівської міської ради про встановлення туристичного збору, та отримують (споживають) послуги з тимчасового проживання (ночівлі) із зобов’язанням залишити місце перебування в зазначений строк.</w:t>
      </w:r>
    </w:p>
    <w:p w:rsidR="0067709A" w:rsidRPr="0067709A"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sz w:val="24"/>
          <w:szCs w:val="24"/>
          <w:lang w:val="uk-UA"/>
        </w:rPr>
        <w:t>2.2. Платниками збору не можуть бути особи, які:</w:t>
      </w:r>
    </w:p>
    <w:p w:rsidR="0067709A" w:rsidRPr="0067709A" w:rsidRDefault="0067709A" w:rsidP="0067709A">
      <w:pPr>
        <w:spacing w:after="0" w:line="240" w:lineRule="auto"/>
        <w:jc w:val="both"/>
        <w:rPr>
          <w:rFonts w:ascii="Times New Roman" w:hAnsi="Times New Roman"/>
          <w:sz w:val="24"/>
          <w:szCs w:val="24"/>
          <w:lang w:val="uk-UA"/>
        </w:rPr>
      </w:pPr>
      <w:bookmarkStart w:id="1" w:name="n6529"/>
      <w:bookmarkEnd w:id="1"/>
      <w:r w:rsidRPr="0067709A">
        <w:rPr>
          <w:rFonts w:ascii="Times New Roman" w:hAnsi="Times New Roman"/>
          <w:sz w:val="24"/>
          <w:szCs w:val="24"/>
          <w:lang w:val="uk-UA"/>
        </w:rPr>
        <w:t xml:space="preserve">а) постійно проживають, у тому числі на умовах договорів найму, у селищах Сосновий, </w:t>
      </w:r>
      <w:proofErr w:type="spellStart"/>
      <w:r w:rsidRPr="0067709A">
        <w:rPr>
          <w:rFonts w:ascii="Times New Roman" w:hAnsi="Times New Roman"/>
          <w:sz w:val="24"/>
          <w:szCs w:val="24"/>
          <w:lang w:val="uk-UA"/>
        </w:rPr>
        <w:t>Зміївка</w:t>
      </w:r>
      <w:proofErr w:type="spellEnd"/>
      <w:r w:rsidRPr="0067709A">
        <w:rPr>
          <w:rFonts w:ascii="Times New Roman" w:hAnsi="Times New Roman"/>
          <w:sz w:val="24"/>
          <w:szCs w:val="24"/>
          <w:lang w:val="uk-UA"/>
        </w:rPr>
        <w:t>, Дачне або місті Сватове, на території яких встановлено даний збір;</w:t>
      </w:r>
    </w:p>
    <w:p w:rsidR="0067709A" w:rsidRPr="0067709A" w:rsidRDefault="0067709A" w:rsidP="0067709A">
      <w:pPr>
        <w:spacing w:after="0" w:line="240" w:lineRule="auto"/>
        <w:jc w:val="both"/>
        <w:rPr>
          <w:rFonts w:ascii="Times New Roman" w:hAnsi="Times New Roman"/>
          <w:sz w:val="24"/>
          <w:szCs w:val="24"/>
          <w:lang w:val="uk-UA"/>
        </w:rPr>
      </w:pPr>
      <w:bookmarkStart w:id="2" w:name="n6530"/>
      <w:bookmarkEnd w:id="2"/>
      <w:r w:rsidRPr="0067709A">
        <w:rPr>
          <w:rFonts w:ascii="Times New Roman" w:hAnsi="Times New Roman"/>
          <w:sz w:val="24"/>
          <w:szCs w:val="24"/>
          <w:lang w:val="uk-UA"/>
        </w:rPr>
        <w:t>б) особи, які прибули у відрядження;</w:t>
      </w:r>
    </w:p>
    <w:p w:rsidR="0067709A" w:rsidRPr="0067709A" w:rsidRDefault="0067709A" w:rsidP="0067709A">
      <w:pPr>
        <w:spacing w:after="0" w:line="240" w:lineRule="auto"/>
        <w:jc w:val="both"/>
        <w:rPr>
          <w:rFonts w:ascii="Times New Roman" w:hAnsi="Times New Roman"/>
          <w:sz w:val="24"/>
          <w:szCs w:val="24"/>
          <w:lang w:val="uk-UA"/>
        </w:rPr>
      </w:pPr>
      <w:bookmarkStart w:id="3" w:name="n6531"/>
      <w:bookmarkEnd w:id="3"/>
      <w:r w:rsidRPr="0067709A">
        <w:rPr>
          <w:rFonts w:ascii="Times New Roman" w:hAnsi="Times New Roman"/>
          <w:sz w:val="24"/>
          <w:szCs w:val="24"/>
          <w:lang w:val="uk-UA"/>
        </w:rPr>
        <w:t>в) інваліди, діти-інваліди та особи, що супроводжують інвалідів I групи або дітей-інвалідів (не більше одного супроводжуючого);</w:t>
      </w:r>
    </w:p>
    <w:p w:rsidR="0067709A" w:rsidRPr="0067709A" w:rsidRDefault="0067709A" w:rsidP="0067709A">
      <w:pPr>
        <w:spacing w:after="0" w:line="240" w:lineRule="auto"/>
        <w:jc w:val="both"/>
        <w:rPr>
          <w:rFonts w:ascii="Times New Roman" w:hAnsi="Times New Roman"/>
          <w:sz w:val="24"/>
          <w:szCs w:val="24"/>
          <w:lang w:val="uk-UA"/>
        </w:rPr>
      </w:pPr>
      <w:bookmarkStart w:id="4" w:name="n6532"/>
      <w:bookmarkEnd w:id="4"/>
      <w:r w:rsidRPr="0067709A">
        <w:rPr>
          <w:rFonts w:ascii="Times New Roman" w:hAnsi="Times New Roman"/>
          <w:sz w:val="24"/>
          <w:szCs w:val="24"/>
          <w:lang w:val="uk-UA"/>
        </w:rPr>
        <w:t>г) ветерани війни;</w:t>
      </w:r>
    </w:p>
    <w:p w:rsidR="0067709A" w:rsidRPr="0067709A" w:rsidRDefault="0067709A" w:rsidP="0067709A">
      <w:pPr>
        <w:spacing w:after="0" w:line="240" w:lineRule="auto"/>
        <w:jc w:val="both"/>
        <w:rPr>
          <w:rFonts w:ascii="Times New Roman" w:hAnsi="Times New Roman"/>
          <w:sz w:val="24"/>
          <w:szCs w:val="24"/>
          <w:lang w:val="uk-UA"/>
        </w:rPr>
      </w:pPr>
      <w:bookmarkStart w:id="5" w:name="n6533"/>
      <w:bookmarkEnd w:id="5"/>
      <w:r w:rsidRPr="0067709A">
        <w:rPr>
          <w:rFonts w:ascii="Times New Roman" w:hAnsi="Times New Roman"/>
          <w:sz w:val="24"/>
          <w:szCs w:val="24"/>
          <w:lang w:val="uk-UA"/>
        </w:rPr>
        <w:t>ґ) учасники ліквідації наслідків аварії на Чорнобильській АЕС;</w:t>
      </w:r>
    </w:p>
    <w:p w:rsidR="0067709A" w:rsidRPr="0067709A" w:rsidRDefault="0067709A" w:rsidP="0067709A">
      <w:pPr>
        <w:spacing w:after="0" w:line="240" w:lineRule="auto"/>
        <w:jc w:val="both"/>
        <w:rPr>
          <w:rFonts w:ascii="Times New Roman" w:hAnsi="Times New Roman"/>
          <w:sz w:val="24"/>
          <w:szCs w:val="24"/>
          <w:lang w:val="uk-UA"/>
        </w:rPr>
      </w:pPr>
      <w:bookmarkStart w:id="6" w:name="n6534"/>
      <w:bookmarkEnd w:id="6"/>
      <w:r w:rsidRPr="0067709A">
        <w:rPr>
          <w:rFonts w:ascii="Times New Roman" w:hAnsi="Times New Roman"/>
          <w:sz w:val="24"/>
          <w:szCs w:val="24"/>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67709A" w:rsidRPr="0067709A" w:rsidRDefault="0067709A" w:rsidP="0067709A">
      <w:pPr>
        <w:spacing w:after="0" w:line="240" w:lineRule="auto"/>
        <w:jc w:val="both"/>
        <w:rPr>
          <w:rFonts w:ascii="Times New Roman" w:hAnsi="Times New Roman"/>
          <w:sz w:val="24"/>
          <w:szCs w:val="24"/>
          <w:lang w:val="uk-UA"/>
        </w:rPr>
      </w:pPr>
      <w:bookmarkStart w:id="7" w:name="n6535"/>
      <w:bookmarkEnd w:id="7"/>
      <w:r w:rsidRPr="0067709A">
        <w:rPr>
          <w:rFonts w:ascii="Times New Roman" w:hAnsi="Times New Roman"/>
          <w:sz w:val="24"/>
          <w:szCs w:val="24"/>
          <w:lang w:val="uk-UA"/>
        </w:rPr>
        <w:t xml:space="preserve"> </w:t>
      </w:r>
      <w:bookmarkStart w:id="8" w:name="n6536"/>
      <w:bookmarkEnd w:id="8"/>
      <w:r w:rsidRPr="0067709A">
        <w:rPr>
          <w:rFonts w:ascii="Times New Roman" w:hAnsi="Times New Roman"/>
          <w:sz w:val="24"/>
          <w:szCs w:val="24"/>
          <w:lang w:val="uk-UA"/>
        </w:rPr>
        <w:t>е) діти віком до 18 років;</w:t>
      </w:r>
    </w:p>
    <w:p w:rsidR="0067709A" w:rsidRPr="0067709A" w:rsidRDefault="0067709A" w:rsidP="0067709A">
      <w:pPr>
        <w:spacing w:after="0" w:line="240" w:lineRule="auto"/>
        <w:jc w:val="both"/>
        <w:rPr>
          <w:rFonts w:ascii="Times New Roman" w:hAnsi="Times New Roman"/>
          <w:sz w:val="24"/>
          <w:szCs w:val="24"/>
          <w:lang w:val="uk-UA"/>
        </w:rPr>
      </w:pPr>
      <w:bookmarkStart w:id="9" w:name="n6537"/>
      <w:bookmarkEnd w:id="9"/>
      <w:r w:rsidRPr="0067709A">
        <w:rPr>
          <w:rFonts w:ascii="Times New Roman" w:hAnsi="Times New Roman"/>
          <w:sz w:val="24"/>
          <w:szCs w:val="24"/>
          <w:lang w:val="uk-UA"/>
        </w:rPr>
        <w:t xml:space="preserve"> </w:t>
      </w:r>
      <w:bookmarkStart w:id="10" w:name="n6538"/>
      <w:bookmarkEnd w:id="10"/>
      <w:r w:rsidRPr="0067709A">
        <w:rPr>
          <w:rFonts w:ascii="Times New Roman" w:hAnsi="Times New Roman"/>
          <w:sz w:val="24"/>
          <w:szCs w:val="24"/>
          <w:lang w:val="uk-UA"/>
        </w:rPr>
        <w:t>є) дитячі лікувально-профілактичні, фізкультурно-оздоровчі та санаторно-курортні заклади.</w:t>
      </w:r>
    </w:p>
    <w:p w:rsidR="0067709A" w:rsidRPr="0067709A" w:rsidRDefault="0067709A" w:rsidP="0067709A">
      <w:pPr>
        <w:spacing w:after="0" w:line="240" w:lineRule="auto"/>
        <w:jc w:val="both"/>
        <w:rPr>
          <w:rFonts w:ascii="Times New Roman" w:hAnsi="Times New Roman"/>
          <w:b/>
          <w:i/>
          <w:sz w:val="24"/>
          <w:szCs w:val="24"/>
          <w:lang w:val="uk-UA"/>
        </w:rPr>
      </w:pPr>
      <w:r w:rsidRPr="0067709A">
        <w:rPr>
          <w:rFonts w:ascii="Times New Roman" w:hAnsi="Times New Roman"/>
          <w:b/>
          <w:i/>
          <w:sz w:val="24"/>
          <w:szCs w:val="24"/>
          <w:lang w:val="uk-UA"/>
        </w:rPr>
        <w:t>3. Ставка збору</w:t>
      </w:r>
    </w:p>
    <w:p w:rsidR="0067709A" w:rsidRPr="0067709A"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sz w:val="24"/>
          <w:szCs w:val="24"/>
          <w:lang w:val="uk-UA"/>
        </w:rPr>
        <w:t>3.1. Ставка встановлюється у розмірі від 1 відсотка до бази справляння збору, визначеної   4 цього Положення.</w:t>
      </w:r>
    </w:p>
    <w:p w:rsidR="0067709A" w:rsidRPr="0067709A" w:rsidRDefault="0067709A" w:rsidP="0067709A">
      <w:pPr>
        <w:spacing w:after="0" w:line="240" w:lineRule="auto"/>
        <w:jc w:val="both"/>
        <w:rPr>
          <w:rFonts w:ascii="Times New Roman" w:hAnsi="Times New Roman"/>
          <w:b/>
          <w:i/>
          <w:sz w:val="24"/>
          <w:szCs w:val="24"/>
          <w:lang w:val="uk-UA"/>
        </w:rPr>
      </w:pPr>
    </w:p>
    <w:p w:rsidR="0067709A" w:rsidRPr="0067709A" w:rsidRDefault="0067709A" w:rsidP="0067709A">
      <w:pPr>
        <w:spacing w:after="0" w:line="240" w:lineRule="auto"/>
        <w:jc w:val="both"/>
        <w:rPr>
          <w:rFonts w:ascii="Times New Roman" w:hAnsi="Times New Roman"/>
          <w:b/>
          <w:i/>
          <w:sz w:val="24"/>
          <w:szCs w:val="24"/>
          <w:lang w:val="uk-UA"/>
        </w:rPr>
      </w:pPr>
      <w:r w:rsidRPr="0067709A">
        <w:rPr>
          <w:rFonts w:ascii="Times New Roman" w:hAnsi="Times New Roman"/>
          <w:b/>
          <w:i/>
          <w:sz w:val="24"/>
          <w:szCs w:val="24"/>
          <w:lang w:val="uk-UA"/>
        </w:rPr>
        <w:t>4. База справляння збору</w:t>
      </w:r>
    </w:p>
    <w:p w:rsidR="0067709A" w:rsidRPr="0067709A" w:rsidRDefault="0067709A" w:rsidP="0067709A">
      <w:pPr>
        <w:spacing w:after="0" w:line="240" w:lineRule="auto"/>
        <w:jc w:val="both"/>
        <w:rPr>
          <w:rFonts w:ascii="Times New Roman" w:hAnsi="Times New Roman"/>
          <w:sz w:val="24"/>
          <w:szCs w:val="24"/>
          <w:lang w:val="uk-UA"/>
        </w:rPr>
      </w:pPr>
      <w:bookmarkStart w:id="11" w:name="n6543"/>
      <w:bookmarkEnd w:id="11"/>
      <w:r w:rsidRPr="0067709A">
        <w:rPr>
          <w:rFonts w:ascii="Times New Roman" w:hAnsi="Times New Roman"/>
          <w:sz w:val="24"/>
          <w:szCs w:val="24"/>
          <w:lang w:val="uk-UA"/>
        </w:rPr>
        <w:t>4.1. Базою справляння є вартість усього періоду проживання (ночівлі) в місцях, визначених підпунктом  5.1 цього Положення, за вирахуванням податку на додану вартість.</w:t>
      </w:r>
    </w:p>
    <w:p w:rsidR="0067709A" w:rsidRPr="0067709A" w:rsidRDefault="0067709A" w:rsidP="0067709A">
      <w:pPr>
        <w:spacing w:after="0" w:line="240" w:lineRule="auto"/>
        <w:jc w:val="both"/>
        <w:rPr>
          <w:rFonts w:ascii="Times New Roman" w:hAnsi="Times New Roman"/>
          <w:sz w:val="24"/>
          <w:szCs w:val="24"/>
          <w:lang w:val="uk-UA"/>
        </w:rPr>
      </w:pPr>
      <w:bookmarkStart w:id="12" w:name="n6544"/>
      <w:bookmarkEnd w:id="12"/>
      <w:r w:rsidRPr="0067709A">
        <w:rPr>
          <w:rFonts w:ascii="Times New Roman" w:hAnsi="Times New Roman"/>
          <w:sz w:val="24"/>
          <w:szCs w:val="24"/>
          <w:lang w:val="uk-UA"/>
        </w:rPr>
        <w:t>4.2. До вартості проживання не включаються витрати на харчування чи побутові послуги (прання, чистка, лагодження та прасування одягу, взуття чи білизни), телефонні рахунки, оформлення закордонних паспортів, дозволів на в’їзд (віз), обов’язкове страхування, витрати на усний та письмовий переклади, інші документально оформлені витрати, пов’язані з правилами в’їзду.</w:t>
      </w:r>
    </w:p>
    <w:p w:rsidR="0067709A" w:rsidRPr="0067709A" w:rsidRDefault="0067709A" w:rsidP="0067709A">
      <w:pPr>
        <w:spacing w:after="0" w:line="240" w:lineRule="auto"/>
        <w:jc w:val="both"/>
        <w:rPr>
          <w:rFonts w:ascii="Times New Roman" w:hAnsi="Times New Roman"/>
          <w:sz w:val="24"/>
          <w:szCs w:val="24"/>
          <w:lang w:val="uk-UA"/>
        </w:rPr>
      </w:pPr>
      <w:bookmarkStart w:id="13" w:name="n6545"/>
      <w:bookmarkEnd w:id="13"/>
    </w:p>
    <w:p w:rsidR="0067709A" w:rsidRPr="0067709A" w:rsidRDefault="0067709A" w:rsidP="0067709A">
      <w:pPr>
        <w:spacing w:after="0" w:line="240" w:lineRule="auto"/>
        <w:jc w:val="both"/>
        <w:rPr>
          <w:rFonts w:ascii="Times New Roman" w:hAnsi="Times New Roman"/>
          <w:b/>
          <w:i/>
          <w:sz w:val="24"/>
          <w:szCs w:val="24"/>
          <w:lang w:val="uk-UA"/>
        </w:rPr>
      </w:pPr>
      <w:r w:rsidRPr="0067709A">
        <w:rPr>
          <w:rFonts w:ascii="Times New Roman" w:hAnsi="Times New Roman"/>
          <w:b/>
          <w:i/>
          <w:sz w:val="24"/>
          <w:szCs w:val="24"/>
          <w:lang w:val="uk-UA"/>
        </w:rPr>
        <w:t>5. Податкові агенти</w:t>
      </w:r>
    </w:p>
    <w:p w:rsidR="0067709A" w:rsidRPr="0067709A" w:rsidRDefault="0067709A" w:rsidP="0067709A">
      <w:pPr>
        <w:spacing w:after="0" w:line="240" w:lineRule="auto"/>
        <w:jc w:val="both"/>
        <w:rPr>
          <w:rFonts w:ascii="Times New Roman" w:hAnsi="Times New Roman"/>
          <w:sz w:val="24"/>
          <w:szCs w:val="24"/>
          <w:lang w:val="uk-UA"/>
        </w:rPr>
      </w:pPr>
      <w:bookmarkStart w:id="14" w:name="n6546"/>
      <w:bookmarkEnd w:id="14"/>
      <w:r w:rsidRPr="0067709A">
        <w:rPr>
          <w:rFonts w:ascii="Times New Roman" w:hAnsi="Times New Roman"/>
          <w:sz w:val="24"/>
          <w:szCs w:val="24"/>
          <w:lang w:val="uk-UA"/>
        </w:rPr>
        <w:t>5.1. справляння збору може здійснюватися:</w:t>
      </w:r>
    </w:p>
    <w:p w:rsidR="0067709A" w:rsidRPr="0067709A" w:rsidRDefault="0067709A" w:rsidP="0067709A">
      <w:pPr>
        <w:spacing w:after="0" w:line="240" w:lineRule="auto"/>
        <w:jc w:val="both"/>
        <w:rPr>
          <w:rFonts w:ascii="Times New Roman" w:hAnsi="Times New Roman"/>
          <w:sz w:val="24"/>
          <w:szCs w:val="24"/>
          <w:lang w:val="uk-UA"/>
        </w:rPr>
      </w:pPr>
      <w:bookmarkStart w:id="15" w:name="n6547"/>
      <w:bookmarkEnd w:id="15"/>
      <w:r w:rsidRPr="0067709A">
        <w:rPr>
          <w:rFonts w:ascii="Times New Roman" w:hAnsi="Times New Roman"/>
          <w:sz w:val="24"/>
          <w:szCs w:val="24"/>
          <w:lang w:val="uk-UA"/>
        </w:rPr>
        <w:t>а) адміністраціями готелів, кемпінгів, мотелів, гуртожитків для приїжджих та іншими закладами готельного типу, санаторно-курортними закладами;</w:t>
      </w:r>
    </w:p>
    <w:p w:rsidR="0067709A" w:rsidRPr="0067709A" w:rsidRDefault="0067709A" w:rsidP="0067709A">
      <w:pPr>
        <w:spacing w:after="0" w:line="240" w:lineRule="auto"/>
        <w:jc w:val="both"/>
        <w:rPr>
          <w:rFonts w:ascii="Times New Roman" w:hAnsi="Times New Roman"/>
          <w:sz w:val="24"/>
          <w:szCs w:val="24"/>
          <w:lang w:val="uk-UA"/>
        </w:rPr>
      </w:pPr>
      <w:bookmarkStart w:id="16" w:name="n6548"/>
      <w:bookmarkEnd w:id="16"/>
      <w:r w:rsidRPr="0067709A">
        <w:rPr>
          <w:rFonts w:ascii="Times New Roman" w:hAnsi="Times New Roman"/>
          <w:sz w:val="24"/>
          <w:szCs w:val="24"/>
          <w:lang w:val="uk-UA"/>
        </w:rPr>
        <w:t>б) квартирно-посередницькими організаціями,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договором найму;</w:t>
      </w:r>
    </w:p>
    <w:p w:rsidR="0067709A" w:rsidRPr="0067709A" w:rsidRDefault="0067709A" w:rsidP="0067709A">
      <w:pPr>
        <w:spacing w:after="0" w:line="240" w:lineRule="auto"/>
        <w:jc w:val="both"/>
        <w:rPr>
          <w:rFonts w:ascii="Times New Roman" w:hAnsi="Times New Roman"/>
          <w:sz w:val="24"/>
          <w:szCs w:val="24"/>
          <w:lang w:val="uk-UA"/>
        </w:rPr>
      </w:pPr>
      <w:bookmarkStart w:id="17" w:name="n6549"/>
      <w:bookmarkEnd w:id="17"/>
      <w:r w:rsidRPr="0067709A">
        <w:rPr>
          <w:rFonts w:ascii="Times New Roman" w:hAnsi="Times New Roman"/>
          <w:sz w:val="24"/>
          <w:szCs w:val="24"/>
          <w:lang w:val="uk-UA"/>
        </w:rPr>
        <w:t xml:space="preserve">в) юридичними особами або фізичними особами </w:t>
      </w:r>
      <w:r w:rsidRPr="0067709A">
        <w:rPr>
          <w:rFonts w:ascii="Times New Roman" w:hAnsi="Times New Roman"/>
          <w:sz w:val="24"/>
          <w:szCs w:val="24"/>
          <w:lang w:val="uk-UA"/>
        </w:rPr>
        <w:sym w:font="Symbol" w:char="F02D"/>
      </w:r>
      <w:r w:rsidRPr="0067709A">
        <w:rPr>
          <w:rFonts w:ascii="Times New Roman" w:hAnsi="Times New Roman"/>
          <w:sz w:val="24"/>
          <w:szCs w:val="24"/>
          <w:lang w:val="uk-UA"/>
        </w:rPr>
        <w:t xml:space="preserve"> підприємцями, які уповноважуються </w:t>
      </w:r>
      <w:proofErr w:type="spellStart"/>
      <w:r w:rsidRPr="0067709A">
        <w:rPr>
          <w:rFonts w:ascii="Times New Roman" w:hAnsi="Times New Roman"/>
          <w:sz w:val="24"/>
          <w:szCs w:val="24"/>
          <w:lang w:val="uk-UA"/>
        </w:rPr>
        <w:t>Сватівською</w:t>
      </w:r>
      <w:proofErr w:type="spellEnd"/>
      <w:r w:rsidRPr="0067709A">
        <w:rPr>
          <w:rFonts w:ascii="Times New Roman" w:hAnsi="Times New Roman"/>
          <w:sz w:val="24"/>
          <w:szCs w:val="24"/>
          <w:lang w:val="uk-UA"/>
        </w:rPr>
        <w:t xml:space="preserve"> міською радою справляти збір на умовах договору, укладеного з радою.</w:t>
      </w:r>
    </w:p>
    <w:p w:rsidR="0067709A" w:rsidRPr="0067709A" w:rsidRDefault="0067709A" w:rsidP="0067709A">
      <w:pPr>
        <w:spacing w:after="0" w:line="240" w:lineRule="auto"/>
        <w:jc w:val="both"/>
        <w:rPr>
          <w:rFonts w:ascii="Times New Roman" w:hAnsi="Times New Roman"/>
          <w:sz w:val="24"/>
          <w:szCs w:val="24"/>
          <w:lang w:val="uk-UA"/>
        </w:rPr>
      </w:pPr>
    </w:p>
    <w:p w:rsidR="0067709A" w:rsidRPr="0067709A" w:rsidRDefault="0067709A" w:rsidP="0067709A">
      <w:pPr>
        <w:spacing w:after="0" w:line="240" w:lineRule="auto"/>
        <w:jc w:val="both"/>
        <w:rPr>
          <w:rFonts w:ascii="Times New Roman" w:hAnsi="Times New Roman"/>
          <w:b/>
          <w:i/>
          <w:sz w:val="24"/>
          <w:szCs w:val="24"/>
          <w:lang w:val="uk-UA"/>
        </w:rPr>
      </w:pPr>
      <w:r w:rsidRPr="0067709A">
        <w:rPr>
          <w:rFonts w:ascii="Times New Roman" w:hAnsi="Times New Roman"/>
          <w:b/>
          <w:i/>
          <w:sz w:val="24"/>
          <w:szCs w:val="24"/>
          <w:lang w:val="uk-UA"/>
        </w:rPr>
        <w:t>6. Особливості справляння збору</w:t>
      </w:r>
    </w:p>
    <w:p w:rsidR="0067709A" w:rsidRPr="0067709A"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sz w:val="24"/>
          <w:szCs w:val="24"/>
          <w:lang w:val="uk-UA"/>
        </w:rPr>
        <w:lastRenderedPageBreak/>
        <w:t>6.1.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67709A" w:rsidRPr="0067709A" w:rsidRDefault="0067709A" w:rsidP="0067709A">
      <w:pPr>
        <w:spacing w:after="0" w:line="240" w:lineRule="auto"/>
        <w:jc w:val="both"/>
        <w:rPr>
          <w:rFonts w:ascii="Times New Roman" w:hAnsi="Times New Roman"/>
          <w:b/>
          <w:i/>
          <w:sz w:val="24"/>
          <w:szCs w:val="24"/>
          <w:lang w:val="uk-UA"/>
        </w:rPr>
      </w:pPr>
    </w:p>
    <w:p w:rsidR="0067709A" w:rsidRPr="0067709A" w:rsidRDefault="0067709A" w:rsidP="0067709A">
      <w:pPr>
        <w:spacing w:after="0" w:line="240" w:lineRule="auto"/>
        <w:jc w:val="both"/>
        <w:rPr>
          <w:rFonts w:ascii="Times New Roman" w:hAnsi="Times New Roman"/>
          <w:b/>
          <w:i/>
          <w:sz w:val="24"/>
          <w:szCs w:val="24"/>
          <w:lang w:val="uk-UA"/>
        </w:rPr>
      </w:pPr>
      <w:r w:rsidRPr="0067709A">
        <w:rPr>
          <w:rFonts w:ascii="Times New Roman" w:hAnsi="Times New Roman"/>
          <w:b/>
          <w:i/>
          <w:sz w:val="24"/>
          <w:szCs w:val="24"/>
          <w:lang w:val="uk-UA"/>
        </w:rPr>
        <w:t>7. Порядок сплати збору</w:t>
      </w:r>
    </w:p>
    <w:p w:rsidR="0067709A" w:rsidRPr="0067709A"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sz w:val="24"/>
          <w:szCs w:val="24"/>
          <w:lang w:val="uk-UA"/>
        </w:rPr>
        <w:t>7.1. Сума туристичного збору,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податкових агентів.</w:t>
      </w:r>
    </w:p>
    <w:p w:rsidR="0067709A" w:rsidRPr="0067709A" w:rsidRDefault="0067709A" w:rsidP="0067709A">
      <w:pPr>
        <w:spacing w:after="0" w:line="240" w:lineRule="auto"/>
        <w:jc w:val="both"/>
        <w:rPr>
          <w:rFonts w:ascii="Times New Roman" w:hAnsi="Times New Roman"/>
          <w:sz w:val="24"/>
          <w:szCs w:val="24"/>
          <w:lang w:val="uk-UA"/>
        </w:rPr>
      </w:pPr>
      <w:bookmarkStart w:id="18" w:name="n6554"/>
      <w:bookmarkEnd w:id="18"/>
      <w:r w:rsidRPr="0067709A">
        <w:rPr>
          <w:rFonts w:ascii="Times New Roman" w:hAnsi="Times New Roman"/>
          <w:sz w:val="24"/>
          <w:szCs w:val="24"/>
          <w:lang w:val="uk-UA"/>
        </w:rPr>
        <w:t>7.2.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rsidR="0067709A" w:rsidRPr="0067709A" w:rsidRDefault="0067709A" w:rsidP="0067709A">
      <w:pPr>
        <w:spacing w:after="0" w:line="240" w:lineRule="auto"/>
        <w:rPr>
          <w:rFonts w:ascii="Times New Roman" w:hAnsi="Times New Roman"/>
          <w:sz w:val="24"/>
          <w:szCs w:val="24"/>
          <w:lang w:val="uk-UA"/>
        </w:rPr>
      </w:pPr>
      <w:bookmarkStart w:id="19" w:name="n6556"/>
      <w:bookmarkEnd w:id="19"/>
      <w:r w:rsidRPr="0067709A">
        <w:rPr>
          <w:rFonts w:ascii="Times New Roman" w:hAnsi="Times New Roman"/>
          <w:sz w:val="24"/>
          <w:szCs w:val="24"/>
          <w:lang w:val="uk-UA"/>
        </w:rPr>
        <w:t>7.3. Базовий податковий (звітний) період дорівнює календарному кварталу</w:t>
      </w:r>
    </w:p>
    <w:p w:rsidR="0067709A" w:rsidRPr="0067709A" w:rsidRDefault="0067709A" w:rsidP="0067709A">
      <w:pPr>
        <w:spacing w:after="0" w:line="240" w:lineRule="auto"/>
        <w:rPr>
          <w:rFonts w:ascii="Times New Roman" w:hAnsi="Times New Roman"/>
          <w:sz w:val="24"/>
          <w:szCs w:val="24"/>
          <w:lang w:val="uk-UA"/>
        </w:rPr>
      </w:pPr>
    </w:p>
    <w:p w:rsidR="0067709A" w:rsidRPr="0067709A" w:rsidRDefault="0067709A" w:rsidP="0067709A">
      <w:pPr>
        <w:spacing w:after="0" w:line="240" w:lineRule="auto"/>
        <w:rPr>
          <w:rFonts w:ascii="Times New Roman" w:hAnsi="Times New Roman"/>
          <w:sz w:val="24"/>
          <w:szCs w:val="24"/>
          <w:lang w:val="uk-UA"/>
        </w:rPr>
      </w:pPr>
    </w:p>
    <w:p w:rsidR="0067709A" w:rsidRPr="0067709A" w:rsidRDefault="0067709A" w:rsidP="0067709A">
      <w:pPr>
        <w:spacing w:after="0" w:line="240" w:lineRule="auto"/>
        <w:rPr>
          <w:rFonts w:ascii="Times New Roman" w:hAnsi="Times New Roman"/>
          <w:sz w:val="24"/>
          <w:szCs w:val="24"/>
          <w:lang w:val="uk-UA"/>
        </w:rPr>
      </w:pPr>
    </w:p>
    <w:p w:rsidR="0067709A" w:rsidRPr="0067709A" w:rsidRDefault="0067709A" w:rsidP="0067709A">
      <w:pPr>
        <w:spacing w:after="0" w:line="240" w:lineRule="auto"/>
        <w:rPr>
          <w:rFonts w:ascii="Times New Roman" w:hAnsi="Times New Roman"/>
          <w:sz w:val="24"/>
          <w:szCs w:val="24"/>
          <w:lang w:val="uk-UA"/>
        </w:rPr>
      </w:pPr>
      <w:r w:rsidRPr="0067709A">
        <w:rPr>
          <w:rFonts w:ascii="Times New Roman" w:hAnsi="Times New Roman"/>
          <w:sz w:val="24"/>
          <w:szCs w:val="24"/>
          <w:lang w:val="uk-UA"/>
        </w:rPr>
        <w:t>Секретар Сватівської міської ради                                                О.І.Євтушенко</w:t>
      </w:r>
    </w:p>
    <w:p w:rsidR="0067709A" w:rsidRPr="0067709A" w:rsidRDefault="0067709A" w:rsidP="0067709A">
      <w:pPr>
        <w:spacing w:after="0" w:line="240" w:lineRule="auto"/>
        <w:rPr>
          <w:rFonts w:ascii="Times New Roman" w:hAnsi="Times New Roman"/>
          <w:sz w:val="24"/>
          <w:szCs w:val="24"/>
          <w:lang w:val="uk-UA"/>
        </w:rPr>
      </w:pPr>
    </w:p>
    <w:p w:rsidR="00CB2A38" w:rsidRPr="0067709A" w:rsidRDefault="00CB2A38">
      <w:pPr>
        <w:rPr>
          <w:sz w:val="24"/>
          <w:szCs w:val="24"/>
          <w:lang w:val="uk-UA"/>
        </w:rPr>
      </w:pPr>
    </w:p>
    <w:sectPr w:rsidR="00CB2A38" w:rsidRPr="0067709A"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9A"/>
    <w:rsid w:val="00040340"/>
    <w:rsid w:val="0067709A"/>
    <w:rsid w:val="008E7AAC"/>
    <w:rsid w:val="009F2D88"/>
    <w:rsid w:val="00CB2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85D9"/>
  <w15:docId w15:val="{2DB958C8-1871-4DC0-88FB-6783CAD3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0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Lunev</cp:lastModifiedBy>
  <cp:revision>2</cp:revision>
  <dcterms:created xsi:type="dcterms:W3CDTF">2017-05-22T12:06:00Z</dcterms:created>
  <dcterms:modified xsi:type="dcterms:W3CDTF">2017-05-22T12:06:00Z</dcterms:modified>
</cp:coreProperties>
</file>