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24" w:rsidRPr="00576AAC" w:rsidRDefault="005C7324" w:rsidP="00643499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5C7324" w:rsidRDefault="005C7324" w:rsidP="00643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(Сьомого скликання)</w:t>
      </w:r>
    </w:p>
    <w:p w:rsidR="005C7324" w:rsidRDefault="005C7324" w:rsidP="0064349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567C14">
        <w:rPr>
          <w:rFonts w:ascii="Times New Roman" w:hAnsi="Times New Roman"/>
          <w:sz w:val="24"/>
          <w:szCs w:val="24"/>
          <w:lang w:val="uk-UA"/>
        </w:rPr>
        <w:t>_________</w:t>
      </w:r>
      <w:r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5C7324" w:rsidRPr="00F82AA5" w:rsidRDefault="005C7324" w:rsidP="0064349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C7324" w:rsidRDefault="005C7324" w:rsidP="006434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43499" w:rsidRPr="00086F40" w:rsidRDefault="00643499" w:rsidP="006434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C7324" w:rsidRPr="00356E2B" w:rsidRDefault="005C7324" w:rsidP="0064349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_____________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№ </w:t>
      </w:r>
    </w:p>
    <w:p w:rsidR="005C7324" w:rsidRPr="00BE2DCD" w:rsidRDefault="005C7324" w:rsidP="0064349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3499" w:rsidRDefault="005C7324" w:rsidP="00643499">
      <w:pPr>
        <w:pStyle w:val="a4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внесення змін до Порядку</w:t>
      </w:r>
      <w:r w:rsidR="00643499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 </w:t>
      </w:r>
      <w:r w:rsidR="00E644B3">
        <w:rPr>
          <w:b/>
          <w:bCs/>
          <w:i/>
          <w:iCs/>
          <w:sz w:val="24"/>
        </w:rPr>
        <w:t>з</w:t>
      </w:r>
      <w:r>
        <w:rPr>
          <w:b/>
          <w:bCs/>
          <w:i/>
          <w:iCs/>
          <w:sz w:val="24"/>
        </w:rPr>
        <w:t>алучення</w:t>
      </w:r>
      <w:r w:rsidR="00F00AD2">
        <w:rPr>
          <w:b/>
          <w:bCs/>
          <w:i/>
          <w:iCs/>
          <w:sz w:val="24"/>
        </w:rPr>
        <w:t>,</w:t>
      </w:r>
      <w:r w:rsidR="00E644B3">
        <w:rPr>
          <w:b/>
          <w:bCs/>
          <w:i/>
          <w:iCs/>
          <w:sz w:val="24"/>
        </w:rPr>
        <w:t xml:space="preserve"> </w:t>
      </w:r>
      <w:r w:rsidR="00F00AD2">
        <w:rPr>
          <w:b/>
          <w:bCs/>
          <w:i/>
          <w:iCs/>
          <w:sz w:val="24"/>
        </w:rPr>
        <w:t>розрахунку розміру і</w:t>
      </w:r>
      <w:r w:rsidR="00643499">
        <w:rPr>
          <w:b/>
          <w:bCs/>
          <w:i/>
          <w:iCs/>
          <w:sz w:val="24"/>
        </w:rPr>
        <w:t xml:space="preserve"> </w:t>
      </w:r>
      <w:r w:rsidR="00F00AD2">
        <w:rPr>
          <w:b/>
          <w:bCs/>
          <w:i/>
          <w:iCs/>
          <w:sz w:val="24"/>
        </w:rPr>
        <w:t>використання</w:t>
      </w:r>
      <w:r>
        <w:rPr>
          <w:b/>
          <w:bCs/>
          <w:i/>
          <w:iCs/>
          <w:sz w:val="24"/>
        </w:rPr>
        <w:t xml:space="preserve"> </w:t>
      </w:r>
    </w:p>
    <w:p w:rsidR="005C7324" w:rsidRDefault="005C7324" w:rsidP="00643499">
      <w:pPr>
        <w:pStyle w:val="a4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коштів пайової участі</w:t>
      </w:r>
      <w:r w:rsidR="00643499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 у розвитку інфраструктури міста</w:t>
      </w:r>
      <w:r w:rsidR="00643499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 Сватове»</w:t>
      </w:r>
    </w:p>
    <w:p w:rsidR="00096E54" w:rsidRDefault="00096E54" w:rsidP="00643499">
      <w:pPr>
        <w:pStyle w:val="a4"/>
        <w:jc w:val="both"/>
        <w:rPr>
          <w:b/>
          <w:bCs/>
          <w:i/>
          <w:iCs/>
          <w:sz w:val="24"/>
        </w:rPr>
      </w:pPr>
    </w:p>
    <w:p w:rsidR="00096E54" w:rsidRDefault="00096E54" w:rsidP="00F77464">
      <w:pPr>
        <w:pStyle w:val="a4"/>
        <w:ind w:right="-1"/>
        <w:jc w:val="both"/>
        <w:rPr>
          <w:b/>
          <w:bCs/>
          <w:i/>
          <w:iCs/>
          <w:sz w:val="24"/>
        </w:rPr>
      </w:pPr>
    </w:p>
    <w:p w:rsidR="00096E54" w:rsidRDefault="00E644B3" w:rsidP="00F77464">
      <w:pPr>
        <w:pStyle w:val="a4"/>
        <w:ind w:right="-1"/>
        <w:jc w:val="both"/>
        <w:rPr>
          <w:sz w:val="24"/>
        </w:rPr>
      </w:pPr>
      <w:r>
        <w:rPr>
          <w:bCs/>
          <w:iCs/>
          <w:sz w:val="24"/>
        </w:rPr>
        <w:t>В зв’язку зі змінами  ст. 40 Закону України «Про регулювання містобудівної діяльності», з</w:t>
      </w:r>
      <w:r w:rsidR="00096E54">
        <w:rPr>
          <w:bCs/>
          <w:iCs/>
          <w:sz w:val="24"/>
        </w:rPr>
        <w:t xml:space="preserve"> метою </w:t>
      </w:r>
      <w:r>
        <w:rPr>
          <w:bCs/>
          <w:iCs/>
          <w:sz w:val="24"/>
        </w:rPr>
        <w:t xml:space="preserve">забезпечення прав забудовників щодо </w:t>
      </w:r>
      <w:r w:rsidR="00096E54">
        <w:rPr>
          <w:bCs/>
          <w:iCs/>
          <w:sz w:val="24"/>
        </w:rPr>
        <w:t xml:space="preserve">пайової участі у розвитку інфраструктури міста Сватове, відповідно до </w:t>
      </w:r>
      <w:r w:rsidR="008A29EE">
        <w:rPr>
          <w:sz w:val="24"/>
        </w:rPr>
        <w:t>ст.. 10 Закону України «Про інвестиційну діяльність», ст.. 40 Закону України «Про регулювання містобудівної діяльності»,  п.42 ч.1 ст.26 Закону України «Про місцеве самоврядування в України»</w:t>
      </w:r>
      <w:r w:rsidR="004B75B4" w:rsidRPr="004B75B4">
        <w:rPr>
          <w:sz w:val="24"/>
        </w:rPr>
        <w:t>.</w:t>
      </w:r>
    </w:p>
    <w:p w:rsidR="00E644B3" w:rsidRDefault="00E644B3" w:rsidP="00F77464">
      <w:pPr>
        <w:pStyle w:val="a4"/>
        <w:ind w:right="-1"/>
        <w:jc w:val="both"/>
        <w:rPr>
          <w:sz w:val="24"/>
        </w:rPr>
      </w:pPr>
    </w:p>
    <w:p w:rsidR="00E644B3" w:rsidRDefault="00E644B3" w:rsidP="00643499">
      <w:pPr>
        <w:pStyle w:val="a4"/>
        <w:jc w:val="center"/>
        <w:rPr>
          <w:b/>
          <w:sz w:val="24"/>
        </w:rPr>
      </w:pPr>
      <w:r w:rsidRPr="00E644B3">
        <w:rPr>
          <w:b/>
          <w:sz w:val="24"/>
        </w:rPr>
        <w:t>Сватівська міська рада</w:t>
      </w:r>
    </w:p>
    <w:p w:rsidR="00643499" w:rsidRPr="00E644B3" w:rsidRDefault="00643499" w:rsidP="00643499">
      <w:pPr>
        <w:pStyle w:val="a4"/>
        <w:jc w:val="center"/>
        <w:rPr>
          <w:b/>
          <w:bCs/>
          <w:iCs/>
          <w:sz w:val="24"/>
        </w:rPr>
      </w:pPr>
    </w:p>
    <w:p w:rsidR="005C7324" w:rsidRDefault="005C7324" w:rsidP="00643499">
      <w:pPr>
        <w:pStyle w:val="a4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5C7324" w:rsidRDefault="005C7324" w:rsidP="00643499">
      <w:pPr>
        <w:pStyle w:val="a4"/>
        <w:jc w:val="center"/>
        <w:rPr>
          <w:b/>
          <w:i/>
          <w:sz w:val="22"/>
          <w:szCs w:val="22"/>
        </w:rPr>
      </w:pPr>
    </w:p>
    <w:p w:rsidR="00E644B3" w:rsidRDefault="00E644B3" w:rsidP="0064349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Внести зміни до Порядку залучення , розрахунку розміру і використання коштів пайової участі у розвитку інфраструктури міста Сватове, затвердженого рішенням восьмої сесії Сватівської міської ради від 15.12.2011 року (далі-Порядок):</w:t>
      </w:r>
    </w:p>
    <w:p w:rsidR="005C7324" w:rsidRDefault="00E644B3" w:rsidP="00643499">
      <w:pPr>
        <w:pStyle w:val="a3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</w:t>
      </w:r>
      <w:r w:rsidR="004717D7">
        <w:rPr>
          <w:rFonts w:ascii="Times New Roman" w:hAnsi="Times New Roman"/>
          <w:sz w:val="24"/>
          <w:lang w:val="uk-UA"/>
        </w:rPr>
        <w:t>Доповнити пункт 1.5.</w:t>
      </w:r>
      <w:r>
        <w:rPr>
          <w:rFonts w:ascii="Times New Roman" w:hAnsi="Times New Roman"/>
          <w:sz w:val="24"/>
          <w:lang w:val="uk-UA"/>
        </w:rPr>
        <w:t xml:space="preserve"> Порядку</w:t>
      </w:r>
      <w:r w:rsidR="00236E52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підпунктами:</w:t>
      </w:r>
    </w:p>
    <w:p w:rsidR="004717D7" w:rsidRPr="00E644B3" w:rsidRDefault="00E644B3" w:rsidP="0064349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«1.5.9. </w:t>
      </w:r>
      <w:r w:rsidR="00236E52" w:rsidRPr="00E644B3">
        <w:rPr>
          <w:rFonts w:ascii="Times New Roman" w:hAnsi="Times New Roman"/>
          <w:sz w:val="24"/>
          <w:lang w:val="uk-UA"/>
        </w:rPr>
        <w:t>Об’єкти інженерної, транспортної інфраструктури, об’єктів енергетики, та дорожнього господарства (крім об’єктів дорожнього сервісу);</w:t>
      </w:r>
    </w:p>
    <w:p w:rsidR="00236E52" w:rsidRPr="00E644B3" w:rsidRDefault="00236E52" w:rsidP="00643499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426" w:hanging="436"/>
        <w:jc w:val="both"/>
        <w:rPr>
          <w:rFonts w:ascii="Times New Roman" w:hAnsi="Times New Roman"/>
          <w:sz w:val="24"/>
          <w:lang w:val="uk-UA"/>
        </w:rPr>
      </w:pPr>
      <w:r w:rsidRPr="00E644B3">
        <w:rPr>
          <w:rFonts w:ascii="Times New Roman" w:hAnsi="Times New Roman"/>
          <w:sz w:val="24"/>
          <w:lang w:val="uk-UA"/>
        </w:rPr>
        <w:t>Об’єкти у межах індустріальних парків на замовлення ініціаторів створення індустріальних парків, керуючих компаній індустріальних парків, учасників індустріальних парків;</w:t>
      </w:r>
    </w:p>
    <w:p w:rsidR="00236E52" w:rsidRDefault="00236E52" w:rsidP="00643499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426" w:hanging="436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Об’єкти, які згідно з державним класифікатором будівель та споруд належать до будівель сільськогосподарського призначення;</w:t>
      </w:r>
    </w:p>
    <w:p w:rsidR="00236E52" w:rsidRDefault="00633049" w:rsidP="00643499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426" w:hanging="436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Об’єкти, які згідно з державним класифікатором будівель та споруд належать до будівель і споруд підприємств харчової промисловості;</w:t>
      </w:r>
    </w:p>
    <w:p w:rsidR="00633049" w:rsidRDefault="00633049" w:rsidP="00643499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426" w:hanging="436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Об’єкти, які згідно з державним класифікатором будівель та споруд належать до </w:t>
      </w:r>
      <w:proofErr w:type="spellStart"/>
      <w:r>
        <w:rPr>
          <w:rFonts w:ascii="Times New Roman" w:hAnsi="Times New Roman"/>
          <w:sz w:val="24"/>
          <w:lang w:val="uk-UA"/>
        </w:rPr>
        <w:t>силосів</w:t>
      </w:r>
      <w:proofErr w:type="spellEnd"/>
      <w:r>
        <w:rPr>
          <w:rFonts w:ascii="Times New Roman" w:hAnsi="Times New Roman"/>
          <w:sz w:val="24"/>
          <w:lang w:val="uk-UA"/>
        </w:rPr>
        <w:t xml:space="preserve"> для зерна та складських майданчиків (для зберігання с</w:t>
      </w:r>
      <w:r w:rsidR="00E644B3">
        <w:rPr>
          <w:rFonts w:ascii="Times New Roman" w:hAnsi="Times New Roman"/>
          <w:sz w:val="24"/>
          <w:lang w:val="uk-UA"/>
        </w:rPr>
        <w:t>ільськогосподарської продукції)».</w:t>
      </w:r>
    </w:p>
    <w:p w:rsidR="00633049" w:rsidRDefault="00E644B3" w:rsidP="0064349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</w:t>
      </w:r>
      <w:r w:rsidR="00567C14">
        <w:rPr>
          <w:rFonts w:ascii="Times New Roman" w:hAnsi="Times New Roman"/>
          <w:sz w:val="24"/>
          <w:lang w:val="uk-UA"/>
        </w:rPr>
        <w:t>Частину першу п</w:t>
      </w:r>
      <w:r>
        <w:rPr>
          <w:rFonts w:ascii="Times New Roman" w:hAnsi="Times New Roman"/>
          <w:sz w:val="24"/>
          <w:lang w:val="uk-UA"/>
        </w:rPr>
        <w:t>ункт</w:t>
      </w:r>
      <w:r w:rsidR="00567C14">
        <w:rPr>
          <w:rFonts w:ascii="Times New Roman" w:hAnsi="Times New Roman"/>
          <w:sz w:val="24"/>
          <w:lang w:val="uk-UA"/>
        </w:rPr>
        <w:t>у</w:t>
      </w:r>
      <w:r w:rsidR="00633049">
        <w:rPr>
          <w:rFonts w:ascii="Times New Roman" w:hAnsi="Times New Roman"/>
          <w:sz w:val="24"/>
          <w:lang w:val="uk-UA"/>
        </w:rPr>
        <w:t xml:space="preserve"> 3.</w:t>
      </w:r>
      <w:r w:rsidR="00567C14">
        <w:rPr>
          <w:rFonts w:ascii="Times New Roman" w:hAnsi="Times New Roman"/>
          <w:sz w:val="24"/>
          <w:lang w:val="uk-UA"/>
        </w:rPr>
        <w:t>1.</w:t>
      </w:r>
      <w:r w:rsidR="00633049">
        <w:rPr>
          <w:rFonts w:ascii="Times New Roman" w:hAnsi="Times New Roman"/>
          <w:sz w:val="24"/>
          <w:lang w:val="uk-UA"/>
        </w:rPr>
        <w:t xml:space="preserve"> Порядку </w:t>
      </w:r>
      <w:r w:rsidR="00567C14">
        <w:rPr>
          <w:rFonts w:ascii="Times New Roman" w:hAnsi="Times New Roman"/>
          <w:sz w:val="24"/>
          <w:lang w:val="uk-UA"/>
        </w:rPr>
        <w:t>викласти в редакції</w:t>
      </w:r>
      <w:r w:rsidR="00633049">
        <w:rPr>
          <w:rFonts w:ascii="Times New Roman" w:hAnsi="Times New Roman"/>
          <w:sz w:val="24"/>
          <w:lang w:val="uk-UA"/>
        </w:rPr>
        <w:t>:</w:t>
      </w:r>
    </w:p>
    <w:p w:rsidR="00C43E31" w:rsidRDefault="00567C14" w:rsidP="00643499">
      <w:pPr>
        <w:pStyle w:val="a3"/>
        <w:spacing w:after="0" w:line="240" w:lineRule="auto"/>
        <w:ind w:left="426" w:hanging="426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«</w:t>
      </w:r>
      <w:r w:rsidR="00633049">
        <w:rPr>
          <w:rFonts w:ascii="Times New Roman" w:hAnsi="Times New Roman"/>
          <w:sz w:val="24"/>
          <w:lang w:val="uk-UA"/>
        </w:rPr>
        <w:t xml:space="preserve">3.1. </w:t>
      </w:r>
      <w:r w:rsidR="00C43E31">
        <w:rPr>
          <w:rFonts w:ascii="Times New Roman" w:hAnsi="Times New Roman"/>
          <w:sz w:val="24"/>
          <w:lang w:val="uk-UA"/>
        </w:rPr>
        <w:t>Договір на пайову участь у розвитку інфраструктури населеного пункту укладається не пізніше ніж 10 робочих днів з дня реєстрації звернення Замовника про його укладання, але до п</w:t>
      </w:r>
      <w:r>
        <w:rPr>
          <w:rFonts w:ascii="Times New Roman" w:hAnsi="Times New Roman"/>
          <w:sz w:val="24"/>
          <w:lang w:val="uk-UA"/>
        </w:rPr>
        <w:t>рийняття об’єкта в експлуатацію»</w:t>
      </w:r>
    </w:p>
    <w:p w:rsidR="000108EE" w:rsidRPr="00F00AD2" w:rsidRDefault="00567C14" w:rsidP="0064349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2</w:t>
      </w:r>
      <w:r w:rsidR="000108EE" w:rsidRPr="00F00AD2">
        <w:rPr>
          <w:rFonts w:ascii="Times New Roman" w:hAnsi="Times New Roman"/>
          <w:sz w:val="24"/>
          <w:lang w:val="uk-UA"/>
        </w:rPr>
        <w:t>. Рішення набирає чинності з дати його прийняття.</w:t>
      </w:r>
    </w:p>
    <w:p w:rsidR="00C43E31" w:rsidRDefault="00567C14" w:rsidP="0064349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3</w:t>
      </w:r>
      <w:r w:rsidR="00C43E31" w:rsidRPr="00C43E31">
        <w:rPr>
          <w:rFonts w:ascii="Times New Roman" w:hAnsi="Times New Roman"/>
          <w:sz w:val="24"/>
          <w:lang w:val="uk-UA"/>
        </w:rPr>
        <w:t>.</w:t>
      </w:r>
      <w:r w:rsidR="00C43E31">
        <w:rPr>
          <w:rFonts w:ascii="Times New Roman" w:hAnsi="Times New Roman"/>
          <w:sz w:val="24"/>
          <w:lang w:val="uk-UA"/>
        </w:rPr>
        <w:t xml:space="preserve"> </w:t>
      </w:r>
      <w:r w:rsidR="00C43E31" w:rsidRPr="00C43E31">
        <w:rPr>
          <w:rFonts w:ascii="Times New Roman" w:hAnsi="Times New Roman"/>
          <w:sz w:val="24"/>
          <w:lang w:val="uk-UA"/>
        </w:rPr>
        <w:t>Керуючому справами Сватівської міської ради</w:t>
      </w:r>
      <w:r w:rsidR="00C43E31">
        <w:rPr>
          <w:rFonts w:ascii="Times New Roman" w:hAnsi="Times New Roman"/>
          <w:sz w:val="24"/>
          <w:lang w:val="uk-UA"/>
        </w:rPr>
        <w:t xml:space="preserve"> через засоби масової інформації </w:t>
      </w:r>
      <w:r w:rsidR="00F00AD2">
        <w:rPr>
          <w:rFonts w:ascii="Times New Roman" w:hAnsi="Times New Roman"/>
          <w:sz w:val="24"/>
          <w:lang w:val="uk-UA"/>
        </w:rPr>
        <w:t xml:space="preserve">   </w:t>
      </w:r>
      <w:r w:rsidR="00C43E31">
        <w:rPr>
          <w:rFonts w:ascii="Times New Roman" w:hAnsi="Times New Roman"/>
          <w:sz w:val="24"/>
          <w:lang w:val="uk-UA"/>
        </w:rPr>
        <w:t xml:space="preserve">забезпечити </w:t>
      </w:r>
      <w:r w:rsidR="000108EE">
        <w:rPr>
          <w:rFonts w:ascii="Times New Roman" w:hAnsi="Times New Roman"/>
          <w:sz w:val="24"/>
          <w:lang w:val="uk-UA"/>
        </w:rPr>
        <w:t>оприлюднення даного рішення.</w:t>
      </w:r>
    </w:p>
    <w:p w:rsidR="000108EE" w:rsidRDefault="00567C14" w:rsidP="0064349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4</w:t>
      </w:r>
      <w:r w:rsidR="000108EE">
        <w:rPr>
          <w:rFonts w:ascii="Times New Roman" w:hAnsi="Times New Roman"/>
          <w:sz w:val="24"/>
          <w:lang w:val="uk-UA"/>
        </w:rPr>
        <w:t xml:space="preserve">. Контроль за виконанням рішення покласти </w:t>
      </w:r>
      <w:r w:rsidR="00F00AD2">
        <w:rPr>
          <w:rFonts w:ascii="Times New Roman" w:hAnsi="Times New Roman"/>
          <w:sz w:val="24"/>
          <w:lang w:val="uk-UA"/>
        </w:rPr>
        <w:t>на постійну депутатську комісію з питань бюджету, соціально-економічного розвитку, промисловості, підприємства та регуляторної політики.</w:t>
      </w:r>
    </w:p>
    <w:p w:rsidR="004A155E" w:rsidRDefault="004A155E" w:rsidP="0064349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A155E" w:rsidRPr="00C43E31" w:rsidRDefault="004A155E" w:rsidP="0064349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5C7324" w:rsidRPr="009F4A3C" w:rsidRDefault="005C7324" w:rsidP="00643499">
      <w:pPr>
        <w:pStyle w:val="8"/>
        <w:spacing w:before="0" w:line="240" w:lineRule="auto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gramStart"/>
      <w:r w:rsidRPr="009F4A3C">
        <w:rPr>
          <w:b/>
          <w:color w:val="auto"/>
          <w:sz w:val="26"/>
        </w:rPr>
        <w:t xml:space="preserve">Сватівський  </w:t>
      </w:r>
      <w:proofErr w:type="spellStart"/>
      <w:r w:rsidRPr="009F4A3C">
        <w:rPr>
          <w:b/>
          <w:color w:val="auto"/>
          <w:sz w:val="26"/>
        </w:rPr>
        <w:t>міський</w:t>
      </w:r>
      <w:proofErr w:type="spellEnd"/>
      <w:proofErr w:type="gramEnd"/>
      <w:r w:rsidRPr="009F4A3C">
        <w:rPr>
          <w:b/>
          <w:color w:val="auto"/>
          <w:sz w:val="26"/>
        </w:rPr>
        <w:t xml:space="preserve"> голова</w:t>
      </w:r>
      <w:r w:rsidRPr="009F4A3C">
        <w:rPr>
          <w:b/>
          <w:color w:val="auto"/>
          <w:sz w:val="26"/>
        </w:rPr>
        <w:tab/>
      </w:r>
      <w:r w:rsidRPr="009F4A3C">
        <w:rPr>
          <w:b/>
          <w:color w:val="auto"/>
          <w:sz w:val="26"/>
        </w:rPr>
        <w:tab/>
      </w:r>
      <w:r w:rsidRPr="009F4A3C">
        <w:rPr>
          <w:b/>
          <w:color w:val="auto"/>
          <w:sz w:val="26"/>
        </w:rPr>
        <w:tab/>
      </w:r>
      <w:r w:rsidRPr="009F4A3C">
        <w:rPr>
          <w:b/>
          <w:color w:val="auto"/>
          <w:sz w:val="26"/>
        </w:rPr>
        <w:tab/>
        <w:t xml:space="preserve">                    Є.В. </w:t>
      </w:r>
      <w:proofErr w:type="spellStart"/>
      <w:r w:rsidRPr="009F4A3C">
        <w:rPr>
          <w:b/>
          <w:color w:val="auto"/>
          <w:sz w:val="26"/>
        </w:rPr>
        <w:t>Рибалко</w:t>
      </w:r>
      <w:proofErr w:type="spellEnd"/>
    </w:p>
    <w:p w:rsidR="005C7324" w:rsidRDefault="005C7324" w:rsidP="005C7324">
      <w:pPr>
        <w:rPr>
          <w:b/>
          <w:lang w:val="uk-UA"/>
        </w:rPr>
      </w:pPr>
    </w:p>
    <w:p w:rsidR="00643499" w:rsidRDefault="00643499" w:rsidP="005C7324">
      <w:pPr>
        <w:rPr>
          <w:b/>
          <w:lang w:val="uk-UA"/>
        </w:rPr>
      </w:pPr>
    </w:p>
    <w:p w:rsidR="00643499" w:rsidRDefault="00643499" w:rsidP="009B78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bookmarkStart w:id="0" w:name="_GoBack"/>
    </w:p>
    <w:p w:rsidR="009B7848" w:rsidRDefault="009B7848" w:rsidP="009B78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Аналіз регуляторного впливу</w:t>
      </w:r>
    </w:p>
    <w:p w:rsidR="009B7848" w:rsidRDefault="009B7848" w:rsidP="009B78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Рішення Сватівської міської ради « Про </w:t>
      </w: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внесення змін до Порядку  залучення, розрахунку розміру і використання коштів пайової участі у розвитку інфраструктури міста Сватове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»</w:t>
      </w:r>
    </w:p>
    <w:p w:rsidR="009B7848" w:rsidRPr="009B7848" w:rsidRDefault="009B7848" w:rsidP="009B78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7848">
        <w:rPr>
          <w:rFonts w:ascii="Times New Roman" w:hAnsi="Times New Roman"/>
          <w:color w:val="000000"/>
          <w:sz w:val="24"/>
          <w:szCs w:val="24"/>
          <w:lang w:val="uk-UA"/>
        </w:rPr>
        <w:t xml:space="preserve">Аналіз регуляторного впливу до проекту рішення Сватівської міської ради «Про внесення змін до Порядку  залучення, розрахунку розміру і використання коштів пайової участі у розвитку інфраструктури міста Сватове» підготовлений відповідно до вимог Закону України «Про </w:t>
      </w:r>
      <w:r w:rsidR="00BF7083">
        <w:rPr>
          <w:rFonts w:ascii="Times New Roman" w:hAnsi="Times New Roman"/>
          <w:color w:val="000000"/>
          <w:sz w:val="24"/>
          <w:szCs w:val="24"/>
          <w:lang w:val="uk-UA"/>
        </w:rPr>
        <w:t>регулювання містобудівної діяль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ності</w:t>
      </w:r>
      <w:r w:rsidRPr="009B7848">
        <w:rPr>
          <w:rFonts w:ascii="Times New Roman" w:hAnsi="Times New Roman"/>
          <w:color w:val="000000"/>
          <w:sz w:val="24"/>
          <w:szCs w:val="24"/>
          <w:lang w:val="uk-UA"/>
        </w:rPr>
        <w:t>», Методики проведення аналізу впливу та відстеження результативності регуляторного акта, затвердженої постановою Кабінету Міністрів України від 11.03.2004 року № 308 «Про затвердження методик проведення аналізу впливу та відстеження результативності регуляторного акта» (із змінами від 16.12.2015 року № 1151) та з метою одержання зауважень і пропозицій від фізичних та юридичних осіб, їх об’єднань впродовж одного місяця.</w:t>
      </w:r>
    </w:p>
    <w:p w:rsidR="00643499" w:rsidRPr="009B7848" w:rsidRDefault="00643499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І. Визначення проблеми, яку передбачається розв’язати шляхом державного регулювання</w:t>
      </w:r>
    </w:p>
    <w:p w:rsidR="00643499" w:rsidRPr="009B7848" w:rsidRDefault="00643499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F7083" w:rsidRP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083">
        <w:rPr>
          <w:rFonts w:ascii="Times New Roman" w:hAnsi="Times New Roman"/>
          <w:sz w:val="24"/>
          <w:szCs w:val="24"/>
          <w:lang w:val="uk-UA"/>
        </w:rPr>
        <w:t xml:space="preserve">     На сьогоднішній день право органів місцевого самоврядування залучати кошти замовників (інвесторів) будівництва об’єктів для пайової участі у створенні і розвитку інфраструктури населених пунктів встановлено рядом нормативно-правових актів, прийнятих на державному рівні. </w:t>
      </w:r>
    </w:p>
    <w:p w:rsidR="00BF7083" w:rsidRP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083">
        <w:rPr>
          <w:rFonts w:ascii="Times New Roman" w:hAnsi="Times New Roman"/>
          <w:color w:val="000000"/>
          <w:sz w:val="24"/>
          <w:szCs w:val="24"/>
          <w:lang w:val="uk-UA"/>
        </w:rPr>
        <w:t xml:space="preserve">     Законом України </w:t>
      </w:r>
      <w:r w:rsidRPr="00BF7083">
        <w:rPr>
          <w:rFonts w:ascii="Times New Roman" w:hAnsi="Times New Roman"/>
          <w:sz w:val="24"/>
          <w:szCs w:val="24"/>
          <w:lang w:val="uk-UA"/>
        </w:rPr>
        <w:t>«</w:t>
      </w:r>
      <w:r w:rsidRPr="00BF7083">
        <w:rPr>
          <w:rFonts w:ascii="Times New Roman" w:hAnsi="Times New Roman"/>
          <w:color w:val="000000"/>
          <w:sz w:val="24"/>
          <w:szCs w:val="24"/>
          <w:lang w:val="uk-UA"/>
        </w:rPr>
        <w:t>Про регулювання містобудівної діяльності</w:t>
      </w:r>
      <w:r w:rsidRPr="00BF7083">
        <w:rPr>
          <w:rFonts w:ascii="Times New Roman" w:hAnsi="Times New Roman"/>
          <w:sz w:val="24"/>
          <w:szCs w:val="24"/>
          <w:lang w:val="uk-UA"/>
        </w:rPr>
        <w:t>» (далі – Закон)</w:t>
      </w:r>
      <w:r w:rsidRPr="00BF708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F7083">
        <w:rPr>
          <w:rFonts w:ascii="Times New Roman" w:hAnsi="Times New Roman"/>
          <w:sz w:val="24"/>
          <w:szCs w:val="24"/>
          <w:lang w:val="uk-UA"/>
        </w:rPr>
        <w:t xml:space="preserve">були внесені зміни щодо регулювання питань залучення, розрахунку розміру і використання коштів пайової участі у розвитку інфраструктури населених пунктів. </w:t>
      </w:r>
    </w:p>
    <w:p w:rsidR="00BF7083" w:rsidRP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083">
        <w:rPr>
          <w:rFonts w:ascii="Times New Roman" w:hAnsi="Times New Roman"/>
          <w:sz w:val="24"/>
          <w:szCs w:val="24"/>
          <w:lang w:val="uk-UA"/>
        </w:rPr>
        <w:t xml:space="preserve">     Положення про порядок залучення та встановлення розміру пайової участі (внеску) фізичних та юридичних осіб у створенні і розвитку інженерно-транспортної та соціальної інфраструктури міста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BF7083">
        <w:rPr>
          <w:rFonts w:ascii="Times New Roman" w:hAnsi="Times New Roman"/>
          <w:sz w:val="24"/>
          <w:szCs w:val="24"/>
          <w:lang w:val="uk-UA"/>
        </w:rPr>
        <w:t xml:space="preserve"> (далі – П</w:t>
      </w:r>
      <w:r>
        <w:rPr>
          <w:rFonts w:ascii="Times New Roman" w:hAnsi="Times New Roman"/>
          <w:sz w:val="24"/>
          <w:szCs w:val="24"/>
          <w:lang w:val="uk-UA"/>
        </w:rPr>
        <w:t xml:space="preserve">оложення) затверджено рішенням Сватівської </w:t>
      </w:r>
      <w:r w:rsidRPr="00BF7083">
        <w:rPr>
          <w:rFonts w:ascii="Times New Roman" w:hAnsi="Times New Roman"/>
          <w:sz w:val="24"/>
          <w:szCs w:val="24"/>
          <w:lang w:val="uk-UA"/>
        </w:rPr>
        <w:t xml:space="preserve">міської ради від </w:t>
      </w:r>
      <w:r>
        <w:rPr>
          <w:rFonts w:ascii="Times New Roman" w:hAnsi="Times New Roman"/>
          <w:sz w:val="24"/>
          <w:szCs w:val="24"/>
          <w:lang w:val="uk-UA"/>
        </w:rPr>
        <w:t xml:space="preserve">15.12.2011 </w:t>
      </w:r>
      <w:r w:rsidRPr="00BF7083">
        <w:rPr>
          <w:rFonts w:ascii="Times New Roman" w:hAnsi="Times New Roman"/>
          <w:sz w:val="24"/>
          <w:szCs w:val="24"/>
          <w:lang w:val="uk-UA"/>
        </w:rPr>
        <w:t>року  «Про затвердження Порядку залучення, Розрахунку розміру і використання коштів пайової участі  у розвитку інфраструктури міста Сватове»</w:t>
      </w:r>
      <w:r w:rsidRPr="00BF708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(8</w:t>
      </w:r>
      <w:r w:rsidRPr="00BF7083">
        <w:rPr>
          <w:rFonts w:ascii="Times New Roman" w:hAnsi="Times New Roman"/>
          <w:sz w:val="24"/>
          <w:szCs w:val="24"/>
          <w:lang w:val="uk-UA"/>
        </w:rPr>
        <w:t xml:space="preserve"> сесія 6 скликання). Існуюче Положення не в повному обсязі відповідає вимогам  статті 40 Закону, у зв’язку з чим його необхідно переглянути і скорегувати у відповідність до чинного законодавства України.</w:t>
      </w:r>
    </w:p>
    <w:p w:rsidR="00BF7083" w:rsidRP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083">
        <w:rPr>
          <w:rFonts w:ascii="Times New Roman" w:hAnsi="Times New Roman"/>
          <w:sz w:val="24"/>
          <w:szCs w:val="24"/>
          <w:lang w:val="uk-UA"/>
        </w:rPr>
        <w:t xml:space="preserve">     Суть проблеми полягає в необхідності прийняття положення, яке б передбачало узагальнюючий порядок та умови залучення, розрахунку розміру і величини пайової участі (внеску), контролю за її сплатою та використання коштів пайової участі замовників (інвесторів) у створенні і розвитку інфраструктури міста </w:t>
      </w:r>
      <w:r w:rsidR="000B6ADB">
        <w:rPr>
          <w:rFonts w:ascii="Times New Roman" w:hAnsi="Times New Roman"/>
          <w:sz w:val="24"/>
          <w:szCs w:val="24"/>
          <w:lang w:val="uk-UA"/>
        </w:rPr>
        <w:t>Сватове</w:t>
      </w:r>
      <w:r w:rsidRPr="00BF7083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BF7083" w:rsidRP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7083" w:rsidRP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083">
        <w:rPr>
          <w:rFonts w:ascii="Times New Roman" w:hAnsi="Times New Roman"/>
          <w:sz w:val="24"/>
          <w:szCs w:val="24"/>
          <w:lang w:val="uk-UA"/>
        </w:rPr>
        <w:t xml:space="preserve">     Основні групи (підгрупи), на які проблема справляє вплив:</w:t>
      </w:r>
    </w:p>
    <w:p w:rsidR="00BF7083" w:rsidRP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40" w:type="dxa"/>
        <w:tblInd w:w="108" w:type="dxa"/>
        <w:tblLook w:val="01E0" w:firstRow="1" w:lastRow="1" w:firstColumn="1" w:lastColumn="1" w:noHBand="0" w:noVBand="0"/>
      </w:tblPr>
      <w:tblGrid>
        <w:gridCol w:w="7200"/>
        <w:gridCol w:w="1080"/>
        <w:gridCol w:w="1260"/>
      </w:tblGrid>
      <w:tr w:rsidR="00BF7083" w:rsidRPr="00BF7083" w:rsidTr="00BF708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Групи (підгрупи)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  <w:tr w:rsidR="00BF7083" w:rsidRPr="00BF7083" w:rsidTr="00BF708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BF7083" w:rsidRPr="00BF7083" w:rsidTr="00BF708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Держава (територіальна громада)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BF7083" w:rsidRPr="00BF7083" w:rsidTr="00BF708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Суб’єктами господарювання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BF7083" w:rsidRPr="00BF7083" w:rsidTr="00BF708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 суб’єктами малого підприємництва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83" w:rsidRPr="00BF7083" w:rsidRDefault="00BF7083" w:rsidP="00BF7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0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</w:tbl>
    <w:p w:rsidR="00BF7083" w:rsidRDefault="00BF7083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083">
        <w:rPr>
          <w:rFonts w:ascii="Times New Roman" w:hAnsi="Times New Roman"/>
          <w:sz w:val="24"/>
          <w:szCs w:val="24"/>
          <w:lang w:val="uk-UA"/>
        </w:rPr>
        <w:t xml:space="preserve">     Зазначена проблема не може бути вирішена за допомогою ринкових механізмів, оскільки частиною першою статті 40 Закону визначено, що порядок залучення, розрахунку розміру і використання коштів пайової участі у розвитку інфраструктури населеного пункту встановлюють органи місцевого самоврядування відповідно до цього Закону.</w:t>
      </w:r>
    </w:p>
    <w:p w:rsidR="00643499" w:rsidRDefault="00643499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499" w:rsidRDefault="00643499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499" w:rsidRDefault="00643499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499" w:rsidRPr="00BF7083" w:rsidRDefault="00643499" w:rsidP="00BF7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ІІ. Цілі державного регулювання</w:t>
      </w:r>
    </w:p>
    <w:p w:rsidR="00643499" w:rsidRPr="009B7848" w:rsidRDefault="00643499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B6ADB" w:rsidRP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>Метою цього регуляторного акта є:</w:t>
      </w:r>
    </w:p>
    <w:p w:rsidR="000B6ADB" w:rsidRP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реалізація повноважень органів місцевого самоврядування;</w:t>
      </w:r>
    </w:p>
    <w:p w:rsidR="000B6ADB" w:rsidRP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удосконалення відносин між органами місцевого самоврядування та замовниками (інвесторами) будівництва об’єктів на території міста (суб’єктами господарювання та громадянами);</w:t>
      </w:r>
    </w:p>
    <w:p w:rsidR="000B6ADB" w:rsidRP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встановлення прозорого і чітко врегульованого порядку та умов залучення, розрахунку розміру і величини пайової участі (внеску) замовників (інвесторів) у створенні і розвитку інженерно-транспортної та соціальної інфраструктури міста, а також здійснення контролю за її сплатою;</w:t>
      </w:r>
    </w:p>
    <w:p w:rsidR="000B6ADB" w:rsidRP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визначення чіткого переліку об’єктів у разі будівництва яких замовники (інвестори) не залучаються до пайової участі (внеску) у створенні і розвитку інженерно-транспортної та соціальної інфраструктури міста; </w:t>
      </w:r>
    </w:p>
    <w:p w:rsidR="000B6ADB" w:rsidRP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встановлення порядку та умов укладення договору про пайову участь (внесок) замовників (інвесторів) у створенні і розвитку інженерно-транспортної та соціальної інфраструктури міста;</w:t>
      </w:r>
    </w:p>
    <w:p w:rsidR="000B6ADB" w:rsidRP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визначення умов зменшення розміру пайової участі (внеску) замовників (інвесторів) у створенні і розвитку інженерно-транспортної та соціальної інфраструктури міста;</w:t>
      </w:r>
    </w:p>
    <w:p w:rsid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B6AD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забезпечення збільшення надходжень коштів до міського бюджету для фінансування розвитку інженерно-транспортної та соціальної інфраструктури міста.</w:t>
      </w:r>
    </w:p>
    <w:p w:rsidR="000B6ADB" w:rsidRDefault="000B6ADB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B7848" w:rsidRDefault="009B7848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ІІІ. Визначення та оцінка альтернативних способів досягнення зазначених цілей</w:t>
      </w:r>
    </w:p>
    <w:p w:rsidR="00643499" w:rsidRPr="009B7848" w:rsidRDefault="00643499" w:rsidP="000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ADB">
        <w:rPr>
          <w:rFonts w:ascii="Times New Roman" w:hAnsi="Times New Roman"/>
          <w:sz w:val="24"/>
          <w:szCs w:val="24"/>
          <w:lang w:val="uk-UA"/>
        </w:rPr>
        <w:t>1. Визначення альтернативних способів</w:t>
      </w:r>
    </w:p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2880"/>
        <w:gridCol w:w="6646"/>
      </w:tblGrid>
      <w:tr w:rsidR="000B6ADB" w:rsidRPr="000B6ADB" w:rsidTr="00F7746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Опис альтернативи</w:t>
            </w:r>
          </w:p>
        </w:tc>
      </w:tr>
      <w:tr w:rsidR="000B6ADB" w:rsidRPr="000B6ADB" w:rsidTr="00F7746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Залишення існуючого Положення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забезпечує досягнення </w:t>
            </w: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цілей правового регулювання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зв’язку з невідповідністю у повному обсязі існуючого Положення вимогам чинного законодавства України;</w:t>
            </w:r>
          </w:p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іншої альтернативи чинним законодавством України для участі замовників (інвесторів) будівництва у створенні і розвитку інженерно-транспортної та соціальної інфраструктури міста не передбачено.</w:t>
            </w:r>
          </w:p>
        </w:tc>
      </w:tr>
      <w:tr w:rsidR="000B6ADB" w:rsidRPr="000B6ADB" w:rsidTr="00F7746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проекту акта 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забезпечує досягнення </w:t>
            </w: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 xml:space="preserve">цілей правового регулювання щодо приведення 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порядку залучення, розрахунку розміру і використання коштів пайової участі у розвитку інфраструктури міста у відповідність до вимог чинного законодавства України;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повністю відповідає потребам у вирішенні проблеми.</w:t>
            </w:r>
          </w:p>
        </w:tc>
      </w:tr>
    </w:tbl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ADB">
        <w:rPr>
          <w:rFonts w:ascii="Times New Roman" w:hAnsi="Times New Roman"/>
          <w:sz w:val="24"/>
          <w:szCs w:val="24"/>
          <w:lang w:val="uk-UA"/>
        </w:rPr>
        <w:t xml:space="preserve">     2. Оцінка вибраних альтернативних способів досягнення цілей</w:t>
      </w:r>
    </w:p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ADB">
        <w:rPr>
          <w:rFonts w:ascii="Times New Roman" w:hAnsi="Times New Roman"/>
          <w:sz w:val="24"/>
          <w:szCs w:val="24"/>
          <w:lang w:val="uk-UA"/>
        </w:rPr>
        <w:t xml:space="preserve">     Оцінка впливу на сферу інтересів держави (територіальної громади)</w:t>
      </w:r>
    </w:p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2520"/>
        <w:gridCol w:w="4455"/>
        <w:gridCol w:w="2551"/>
      </w:tblGrid>
      <w:tr w:rsidR="000B6ADB" w:rsidRPr="000B6ADB" w:rsidTr="00F7746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 альтернативи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Витрати</w:t>
            </w:r>
          </w:p>
        </w:tc>
      </w:tr>
      <w:tr w:rsidR="000B6ADB" w:rsidRPr="000B6ADB" w:rsidTr="00F7746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Залишення існуючого Положення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альтернатива є неприйнятною, оскільки не в повному обсязі відповідає вимогам чинного 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законодавства України</w:t>
            </w:r>
          </w:p>
        </w:tc>
      </w:tr>
      <w:tr w:rsidR="000B6ADB" w:rsidRPr="000B6ADB" w:rsidTr="00F7746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Прийняття проекту акта 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вимог чинного законодавства України;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залучення коштів замовників (інвесторів) будівництва об’єктів (суб’єктів господарювання та громадян) для реалізації заходів, спрямованих на створення і розвиток інженерно-транспортної та соціальної інфраструктури міста;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надходжень коштів до </w:t>
            </w:r>
            <w:r w:rsidRPr="000B6AD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цільового фонду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розвитку інженерно-транспортної та соціальної інфраструктури міста;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залучення інвестицій в економіку міста та поліпшення його соціально-економічного становища.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відсутні, оскільки реалізація акта не потребує додаткових матеріальних та інших витрат</w:t>
            </w:r>
          </w:p>
        </w:tc>
      </w:tr>
    </w:tbl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6ADB">
        <w:rPr>
          <w:rFonts w:ascii="Times New Roman" w:hAnsi="Times New Roman"/>
          <w:sz w:val="24"/>
          <w:szCs w:val="24"/>
          <w:lang w:val="uk-UA"/>
        </w:rPr>
        <w:t xml:space="preserve">     Оцінка впливу на сферу інтересів громадян</w:t>
      </w:r>
    </w:p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2155"/>
        <w:gridCol w:w="4678"/>
        <w:gridCol w:w="2693"/>
      </w:tblGrid>
      <w:tr w:rsidR="000B6ADB" w:rsidRPr="000B6ADB" w:rsidTr="00F7746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 альтернативи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Витрати</w:t>
            </w:r>
          </w:p>
        </w:tc>
      </w:tr>
      <w:tr w:rsidR="000B6ADB" w:rsidRPr="000B6ADB" w:rsidTr="00F7746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Залишення існуючого Положення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сплата пайового внеску в разі здійснення будівництва об’єктів у випадках, передбачених існуючим Положенням</w:t>
            </w:r>
          </w:p>
        </w:tc>
      </w:tr>
      <w:tr w:rsidR="000B6ADB" w:rsidRPr="000B6ADB" w:rsidTr="00F7746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проекту акта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взаємовідносин з органами місцевого самоврядування щодо залучення коштів замовників (інвесторів) будівництва об’єктів на території міста у створенні і розвитку інфраструктури міста;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залучення коштів замовників (інвесторів) будівництва об’єктів (суб’єктів господарювання та громадян) для реалізації заходів, спрямованих на створення і розвиток інженерно-транспортної та соціальної інфраструктури міста;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інженерно-транспортної та соціальної інфраструктури міста.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сплата пайового внеску в разі здійснення будівництва об’єктів у випадках, передбачених проектом акта </w:t>
            </w:r>
          </w:p>
        </w:tc>
      </w:tr>
    </w:tbl>
    <w:p w:rsidR="000B6ADB" w:rsidRPr="000B6ADB" w:rsidRDefault="000B6ADB" w:rsidP="000B6A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6ADB" w:rsidRPr="000B6ADB" w:rsidRDefault="000B6ADB" w:rsidP="000B6AD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B6ADB">
        <w:rPr>
          <w:rFonts w:ascii="Times New Roman" w:hAnsi="Times New Roman"/>
          <w:sz w:val="24"/>
          <w:szCs w:val="24"/>
          <w:lang w:val="uk-UA"/>
        </w:rPr>
        <w:t xml:space="preserve">     Оцінка впливу на сферу інтересів суб’єктів господарювання</w:t>
      </w:r>
    </w:p>
    <w:p w:rsidR="000B6ADB" w:rsidRPr="000B6ADB" w:rsidRDefault="000B6ADB" w:rsidP="000B6AD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2332"/>
        <w:gridCol w:w="1563"/>
        <w:gridCol w:w="1563"/>
        <w:gridCol w:w="1563"/>
        <w:gridCol w:w="1563"/>
        <w:gridCol w:w="942"/>
      </w:tblGrid>
      <w:tr w:rsidR="000B6ADB" w:rsidRPr="000B6ADB" w:rsidTr="00F77464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Великі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Середні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Малі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Мікро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Разом</w:t>
            </w:r>
          </w:p>
        </w:tc>
      </w:tr>
      <w:tr w:rsidR="000B6ADB" w:rsidRPr="000B6ADB" w:rsidTr="00F77464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 xml:space="preserve">Кількість 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суб’єктів господарювання, що підпадають під дію регулювання, одиниць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об’єктивно визначити неможливо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об’єктивно визначити неможливо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об’єктивно визначити неможливо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об’єктивно визначити неможливо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Х</w:t>
            </w:r>
          </w:p>
        </w:tc>
      </w:tr>
      <w:tr w:rsidR="000B6ADB" w:rsidRPr="000B6ADB" w:rsidTr="00F77464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 xml:space="preserve">Питома вага групи у </w:t>
            </w: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lastRenderedPageBreak/>
              <w:t>загальній кількості, відсотків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об’єктивно </w:t>
            </w: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визначити неможливо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об’єктивно </w:t>
            </w: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визначити неможливо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об’єктивно </w:t>
            </w: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визначити неможливо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об’єктивно </w:t>
            </w:r>
            <w:r w:rsidRPr="000B6A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визначити неможливо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lastRenderedPageBreak/>
              <w:t>Х</w:t>
            </w:r>
          </w:p>
        </w:tc>
      </w:tr>
    </w:tbl>
    <w:p w:rsidR="000B6ADB" w:rsidRPr="000B6ADB" w:rsidRDefault="000B6ADB" w:rsidP="000B6AD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2880"/>
        <w:gridCol w:w="4320"/>
        <w:gridCol w:w="2326"/>
      </w:tblGrid>
      <w:tr w:rsidR="000B6ADB" w:rsidRPr="000B6ADB" w:rsidTr="00F7746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 альтернативи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Витрати</w:t>
            </w:r>
          </w:p>
        </w:tc>
      </w:tr>
      <w:tr w:rsidR="000B6ADB" w:rsidRPr="000B6ADB" w:rsidTr="00F7746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Залишення існуючого Положення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сплата пайового внеску в разі здійснення будівництва об’єктів у випадках, передбачених існуючим Положенням</w:t>
            </w:r>
          </w:p>
        </w:tc>
      </w:tr>
      <w:tr w:rsidR="000B6ADB" w:rsidRPr="000B6ADB" w:rsidTr="00F7746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проекту акта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взаємовідносин з органами місцевого самоврядування щодо залучення коштів замовників (інвесторів) будівництва об’єктів на території міста у створенні і розвитку інфраструктури міста;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сприятливих умов для здійснення містобудівної діяльності;</w:t>
            </w:r>
          </w:p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розвиток підприємницької діяльності.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сплата пайового внеску в разі здійснення будівництва об’єктів у випадках, передбачених проектом акта</w:t>
            </w:r>
          </w:p>
        </w:tc>
      </w:tr>
    </w:tbl>
    <w:p w:rsidR="000B6ADB" w:rsidRPr="000B6ADB" w:rsidRDefault="000B6ADB" w:rsidP="000B6A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6ADB" w:rsidRPr="000B6ADB" w:rsidRDefault="000B6ADB" w:rsidP="000B6A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3420"/>
        <w:gridCol w:w="6106"/>
      </w:tblGrid>
      <w:tr w:rsidR="000B6ADB" w:rsidRPr="000B6ADB" w:rsidTr="00F7746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Сумарні витрати за альтернативами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Сума витрат, гривень</w:t>
            </w:r>
          </w:p>
        </w:tc>
      </w:tr>
      <w:tr w:rsidR="000B6ADB" w:rsidRPr="00F15C64" w:rsidTr="00F7746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Залишення існуючого Положення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сплата пайового внеску в разі здійснення будівництва об’єктів у випадках, передбачених існуючим Положенням, у розмірі 10 відсотків загальної кошторисної вартості будівництва нежитлових будівель та споруд і 4 відсотків загальної кошторисної вартості будівництва житлових будинків.</w:t>
            </w:r>
          </w:p>
        </w:tc>
      </w:tr>
      <w:tr w:rsidR="000B6ADB" w:rsidRPr="00F15C64" w:rsidTr="00F7746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проекту </w:t>
            </w:r>
            <w:proofErr w:type="spellStart"/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сплата пайового внеску в разі здійснення будівництва об’єктів у випадках, передбачених проектом акта, у розмірі, який не перевищує 10 відсотків загальної кошторисної вартості будівництва нежитлових будівель та споруд і 4 відсотків загальної кошторисної вартості будівництва житлових будинків.</w:t>
            </w:r>
          </w:p>
        </w:tc>
      </w:tr>
    </w:tbl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7848">
        <w:rPr>
          <w:rFonts w:ascii="Times New Roman" w:hAnsi="Times New Roman"/>
          <w:color w:val="000000"/>
          <w:sz w:val="24"/>
          <w:szCs w:val="24"/>
          <w:lang w:val="uk-UA"/>
        </w:rPr>
        <w:t> </w:t>
      </w:r>
    </w:p>
    <w:p w:rsidR="000B6ADB" w:rsidRDefault="000B6ADB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B6ADB" w:rsidRDefault="000B6ADB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B6ADB" w:rsidRDefault="000B6ADB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B6ADB" w:rsidRDefault="000B6ADB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B6ADB" w:rsidRPr="000B6ADB" w:rsidRDefault="000B6ADB" w:rsidP="000B6AD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B6ADB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3B04D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B6ADB">
        <w:rPr>
          <w:rFonts w:ascii="Times New Roman" w:hAnsi="Times New Roman"/>
          <w:b/>
          <w:sz w:val="24"/>
          <w:szCs w:val="24"/>
          <w:lang w:val="uk-UA"/>
        </w:rPr>
        <w:t>. Вибір найбільш оптимального альтернативного способу досягнення цілей</w:t>
      </w: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2520"/>
        <w:gridCol w:w="2700"/>
        <w:gridCol w:w="4306"/>
      </w:tblGrid>
      <w:tr w:rsidR="000B6ADB" w:rsidRPr="000B6ADB" w:rsidTr="00F7746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Бал результативності  (за чотирибальною системою оцінки)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Коментарі щодо присвоєння відповідного бала</w:t>
            </w:r>
          </w:p>
        </w:tc>
      </w:tr>
      <w:tr w:rsidR="000B6ADB" w:rsidRPr="000B6ADB" w:rsidTr="00F7746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Залишення існуючого Положення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 залишення існуючого Положення проблема продовжуватиме існувати, що не забезпечить досягнення 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поставлених цілей</w:t>
            </w:r>
          </w:p>
        </w:tc>
      </w:tr>
      <w:tr w:rsidR="000B6ADB" w:rsidRPr="00F15C64" w:rsidTr="00F7746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Прийняття проекту акта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286B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 прийняття проекту акта, задекларовані ним цілі можуть бути досягнуті повною мірою стосовно приведення порядку залучення, розрахунку розміру і використання коштів пайової участі у розвитку інфраструктури міста у відповідність до вимог чинного законодавства України; встановлення прозорого і чітко врегульованого порядку та умов залучення, розрахунку розміру і величини пайової участі (внеску) замовників (інвесторів) у створенні і розвитку інженерно-транспортної та соціальної інфраструктури міста, а також здійснення контролю за її сплатою; забезпечення 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>перспектив для будівництва об’єктів.</w:t>
            </w:r>
          </w:p>
        </w:tc>
      </w:tr>
    </w:tbl>
    <w:p w:rsidR="000B6ADB" w:rsidRPr="000B6ADB" w:rsidRDefault="000B6ADB" w:rsidP="000B6ADB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1511"/>
        <w:gridCol w:w="2989"/>
        <w:gridCol w:w="2520"/>
        <w:gridCol w:w="2506"/>
      </w:tblGrid>
      <w:tr w:rsidR="000B6ADB" w:rsidRPr="000B6ADB" w:rsidTr="00F7746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Рейтинг </w:t>
            </w:r>
            <w:proofErr w:type="spellStart"/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результа-тивності</w:t>
            </w:r>
            <w:proofErr w:type="spellEnd"/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Вигоди (підсумок)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Витрати (підсумок)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0B6ADB" w:rsidRPr="00F15C64" w:rsidTr="00F7746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проекту акта 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286B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 прийняття проекту акта, вигода для територіальної громади полягатиме в приведенні порядку залучення, розрахунку розміру і використання коштів пайової участі у розвитку інфраструктури міста у відповідність до вимог чинного законодавства України та збільшенні 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будівництва об’єктів </w:t>
            </w:r>
            <w:r w:rsidR="00286BEE" w:rsidRPr="00286BEE">
              <w:rPr>
                <w:rFonts w:ascii="Times New Roman" w:hAnsi="Times New Roman"/>
                <w:sz w:val="24"/>
                <w:szCs w:val="24"/>
                <w:lang w:val="uk-UA"/>
              </w:rPr>
              <w:t>інженерної, транспортної інфраструктури, об’єктів енергетики, та дорожнього господарства (крі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>м об’єктів дорожнього сервісу); об’єктів</w:t>
            </w:r>
            <w:r w:rsidR="00286BEE" w:rsidRP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межах індустріальних парків на замовлення ініціаторів створення індустріальних парків,  будівель сіль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ськогосподарського призначення; </w:t>
            </w:r>
            <w:r w:rsidR="00286BEE" w:rsidRP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будівель і споруд підп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риємств харчової промисловості, </w:t>
            </w:r>
            <w:r w:rsidR="00286BEE" w:rsidRP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86BEE" w:rsidRPr="00286BEE">
              <w:rPr>
                <w:rFonts w:ascii="Times New Roman" w:hAnsi="Times New Roman"/>
                <w:sz w:val="24"/>
                <w:szCs w:val="24"/>
                <w:lang w:val="uk-UA"/>
              </w:rPr>
              <w:t>силосів</w:t>
            </w:r>
            <w:proofErr w:type="spellEnd"/>
            <w:r w:rsidR="00286BEE" w:rsidRP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зерна та </w:t>
            </w:r>
            <w:r w:rsidR="00286BEE" w:rsidRPr="00286B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складських майданчиків (для зберігання сі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льськогосподарської продукції)», що призведе до 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розвитку інженерно-транспортної та соціальної інфраструктури міста, а для громадян – у покращенні інженерно-транспортної та соціальної інфраструктури міста. Суб’єкти господарювання отримають прозорий і чітко врегульований порядок та умови залучення, розрахунку розміру і величини пайової участі (внеску) замовників (інвесторів)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пільги 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створенні і розвитку інженерно-транспортної та с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>оціальної інфраструктури міста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 w:rsidP="00286B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 разі прийняття проекту акта, територіальна громада нестиме матеріальн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витрат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>и в результаті збільшення об’єктів що отримують пільги</w:t>
            </w: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. Громадяни та суб’єкти господарювання сплачуватимуть пайовий внесок в разі здійснення будівництва об’єктів у випадках, передбачених проектом акта</w:t>
            </w:r>
            <w:r w:rsidR="00286B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 прийняття проекту акта, задекларовані ним цілі будуть досягнуті повною мірою, що повністю забезпечить потребу у вирішенні проблеми та зникне її неврегульованість </w:t>
            </w:r>
          </w:p>
        </w:tc>
      </w:tr>
    </w:tbl>
    <w:p w:rsidR="000B6ADB" w:rsidRPr="000B6ADB" w:rsidRDefault="000B6ADB" w:rsidP="000B6ADB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9526" w:type="dxa"/>
        <w:tblInd w:w="108" w:type="dxa"/>
        <w:tblLook w:val="01E0" w:firstRow="1" w:lastRow="1" w:firstColumn="1" w:lastColumn="1" w:noHBand="0" w:noVBand="0"/>
      </w:tblPr>
      <w:tblGrid>
        <w:gridCol w:w="1800"/>
        <w:gridCol w:w="4140"/>
        <w:gridCol w:w="3586"/>
      </w:tblGrid>
      <w:tr w:rsidR="000B6ADB" w:rsidRPr="000B6ADB" w:rsidTr="00F7746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Рейтинг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0B6ADB" w:rsidRPr="000B6ADB" w:rsidTr="00F7746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Залишення існуючого Положення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ситуація залишається без змін, проблема не вирішується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  <w:tr w:rsidR="000B6ADB" w:rsidRPr="000B6ADB" w:rsidTr="00F7746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проекту акта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>прийняття проекту акта забезпечить повною мірою досягнення задекларованих ним цілей стосовно приведення порядку залучення, розрахунку розміру і використання коштів пайової участі у розвитку інфраструктури міста у відповідність до вимог чинного законодавства України; встановлення прозорого і чітко врегульованого порядку та умов залучення, розрахунку розміру і величини пайової участі (внеску) замовників (інвесторів) у створенні і розвитку інженерно-транспортної та соціальної інфраструктури міста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DB" w:rsidRPr="000B6ADB" w:rsidRDefault="000B6A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деякий час на дію запропонованого регуляторного акта може впливати низька обізнаність суб’єктів, на яких поширюється дія цього акта, та відмінність регулювання, що пропонується, з існуючим регулюванням </w:t>
            </w:r>
          </w:p>
        </w:tc>
      </w:tr>
    </w:tbl>
    <w:p w:rsidR="00643499" w:rsidRDefault="003B04DE" w:rsidP="00286B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</w:p>
    <w:p w:rsidR="00286BEE" w:rsidRPr="00286BEE" w:rsidRDefault="003B04DE" w:rsidP="00286B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286BEE" w:rsidRPr="00286BEE">
        <w:rPr>
          <w:rFonts w:ascii="Times New Roman" w:hAnsi="Times New Roman"/>
          <w:b/>
          <w:sz w:val="24"/>
          <w:szCs w:val="24"/>
          <w:lang w:val="uk-UA"/>
        </w:rPr>
        <w:t>. Механізми та заходи, які забезпечать розв’язання визначеної проблеми</w:t>
      </w:r>
    </w:p>
    <w:p w:rsidR="00286BEE" w:rsidRPr="00286BEE" w:rsidRDefault="00286BEE" w:rsidP="00286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6BEE" w:rsidRPr="00286BEE" w:rsidRDefault="00286BEE" w:rsidP="00286B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t xml:space="preserve">     Дія запропонованого проекту регуляторного акта поширюється на всіх замовників (суб’єктів господарювання та громадян), що мають намір здійснювати будівництво об’єктів на території міста. </w:t>
      </w:r>
    </w:p>
    <w:p w:rsidR="00286BEE" w:rsidRPr="00286BEE" w:rsidRDefault="00286BEE" w:rsidP="00286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lastRenderedPageBreak/>
        <w:t xml:space="preserve">     Цей проект регуляторного акта визначає і регулює повноваження </w:t>
      </w:r>
      <w:r>
        <w:rPr>
          <w:rFonts w:ascii="Times New Roman" w:hAnsi="Times New Roman"/>
          <w:sz w:val="24"/>
          <w:szCs w:val="24"/>
          <w:lang w:val="uk-UA"/>
        </w:rPr>
        <w:t xml:space="preserve">Сватівської </w:t>
      </w:r>
      <w:r w:rsidRPr="00286BEE">
        <w:rPr>
          <w:rFonts w:ascii="Times New Roman" w:hAnsi="Times New Roman"/>
          <w:sz w:val="24"/>
          <w:szCs w:val="24"/>
          <w:lang w:val="uk-UA"/>
        </w:rPr>
        <w:t>міської ради та її виконавчих органів щодо вирішення питань пайової участі (внеску) замовників (інвесторів) у створенні і розвитку інфраструктури міста.</w:t>
      </w:r>
    </w:p>
    <w:p w:rsidR="00286BEE" w:rsidRPr="00286BEE" w:rsidRDefault="00286BEE" w:rsidP="00286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t xml:space="preserve">     Постійно діюча комісія при виконавчому комітеті </w:t>
      </w:r>
      <w:r>
        <w:rPr>
          <w:rFonts w:ascii="Times New Roman" w:hAnsi="Times New Roman"/>
          <w:sz w:val="24"/>
          <w:szCs w:val="24"/>
          <w:lang w:val="uk-UA"/>
        </w:rPr>
        <w:t xml:space="preserve">Сватівської </w:t>
      </w:r>
      <w:r w:rsidRPr="00286BEE">
        <w:rPr>
          <w:rFonts w:ascii="Times New Roman" w:hAnsi="Times New Roman"/>
          <w:sz w:val="24"/>
          <w:szCs w:val="24"/>
          <w:lang w:val="uk-UA"/>
        </w:rPr>
        <w:t xml:space="preserve">міської ради з розгляду питань пайової участі (внеску) замовників (інвесторів) у створенні і розвитку інженерно-транспортної та соціальної інфраструктури міста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286BEE">
        <w:rPr>
          <w:rFonts w:ascii="Times New Roman" w:hAnsi="Times New Roman"/>
          <w:sz w:val="24"/>
          <w:szCs w:val="24"/>
          <w:lang w:val="uk-UA"/>
        </w:rPr>
        <w:t xml:space="preserve"> (далі – Комісія) встановлює розмір пайової участі замовників (інвесторів) у розвитку інфраструктури міста та визначає величину пайової участі у розвитку інфраструктури міста і строки (графіки) її сплати замовниками (інвесторами) будівництва об’єктів.</w:t>
      </w:r>
    </w:p>
    <w:p w:rsidR="00286BEE" w:rsidRPr="00286BEE" w:rsidRDefault="00286BEE" w:rsidP="00286B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86BEE">
        <w:rPr>
          <w:rFonts w:ascii="Times New Roman" w:hAnsi="Times New Roman"/>
          <w:bCs/>
          <w:sz w:val="24"/>
          <w:szCs w:val="24"/>
          <w:lang w:val="uk-UA"/>
        </w:rPr>
        <w:t xml:space="preserve">     Клопотання (звернення) замовників (інвесторів) щодо їх незалучення до пайової участі або зменшення розміру пайової участі (внеску) у створенні і розвитку інженерно-транспортної та соціальної інфраструктури міста розглядаються та вирішуються виконавчим комітетом міської ради за рекомендаціями Комісії.</w:t>
      </w:r>
    </w:p>
    <w:p w:rsidR="00286BEE" w:rsidRPr="00286BEE" w:rsidRDefault="00286BEE" w:rsidP="00286B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t xml:space="preserve">     Контроль за сплатою пайової участі (внеску) замовників (інвесторів) у розвитку інфраструктури міста здійснюється </w:t>
      </w:r>
      <w:r w:rsidRPr="00286B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органами державного архітектурно-будівельного контролю</w:t>
      </w:r>
      <w:r w:rsidRPr="00286BEE">
        <w:rPr>
          <w:rFonts w:ascii="Times New Roman" w:hAnsi="Times New Roman"/>
          <w:sz w:val="24"/>
          <w:szCs w:val="24"/>
          <w:lang w:val="uk-UA"/>
        </w:rPr>
        <w:t xml:space="preserve"> під час </w:t>
      </w:r>
      <w:r w:rsidRPr="00286BE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прийняття в експлуатацію закінчених будівництвом об’єктів.</w:t>
      </w:r>
    </w:p>
    <w:p w:rsidR="00286BEE" w:rsidRPr="00286BEE" w:rsidRDefault="00286BEE" w:rsidP="00286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t xml:space="preserve">     Кошти, отримані як пайова участь замовників (інвесторів) у розвитку інфраструктури міста, використовуються виключно для створення і розвитку інженерно-транспортної та соціальної інфраструктури міста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286BEE">
        <w:rPr>
          <w:rFonts w:ascii="Times New Roman" w:hAnsi="Times New Roman"/>
          <w:sz w:val="24"/>
          <w:szCs w:val="24"/>
          <w:lang w:val="uk-UA"/>
        </w:rPr>
        <w:t xml:space="preserve">. Рішення щодо розподілу коштів пайової участі за пропозицією Комісії приймає </w:t>
      </w:r>
      <w:r>
        <w:rPr>
          <w:rFonts w:ascii="Times New Roman" w:hAnsi="Times New Roman"/>
          <w:sz w:val="24"/>
          <w:szCs w:val="24"/>
          <w:lang w:val="uk-UA"/>
        </w:rPr>
        <w:t xml:space="preserve">Сватівська </w:t>
      </w:r>
      <w:r w:rsidRPr="00286BEE">
        <w:rPr>
          <w:rFonts w:ascii="Times New Roman" w:hAnsi="Times New Roman"/>
          <w:sz w:val="24"/>
          <w:szCs w:val="24"/>
          <w:lang w:val="uk-UA"/>
        </w:rPr>
        <w:t xml:space="preserve">міська рада при формуванні та затвердженні бюджету міста </w:t>
      </w:r>
      <w:r>
        <w:rPr>
          <w:rFonts w:ascii="Times New Roman" w:hAnsi="Times New Roman"/>
          <w:sz w:val="24"/>
          <w:szCs w:val="24"/>
          <w:lang w:val="uk-UA"/>
        </w:rPr>
        <w:t xml:space="preserve">Сватове </w:t>
      </w:r>
      <w:r w:rsidRPr="00286BEE">
        <w:rPr>
          <w:rFonts w:ascii="Times New Roman" w:hAnsi="Times New Roman"/>
          <w:sz w:val="24"/>
          <w:szCs w:val="24"/>
          <w:lang w:val="uk-UA"/>
        </w:rPr>
        <w:t>на кожний рік.</w:t>
      </w:r>
    </w:p>
    <w:p w:rsidR="00286BEE" w:rsidRPr="00286BEE" w:rsidRDefault="00286BEE" w:rsidP="00286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t xml:space="preserve">     Проектом регуляторного акта визначаються:     </w:t>
      </w:r>
    </w:p>
    <w:p w:rsidR="00286BEE" w:rsidRPr="00286BEE" w:rsidRDefault="003B04DE" w:rsidP="003B04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-</w:t>
      </w:r>
      <w:r w:rsidR="00286BEE" w:rsidRPr="00286BE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доповнення </w:t>
      </w:r>
      <w:r w:rsidR="00286BEE" w:rsidRPr="00286BEE">
        <w:rPr>
          <w:rFonts w:ascii="Times New Roman" w:hAnsi="Times New Roman"/>
          <w:sz w:val="24"/>
          <w:szCs w:val="24"/>
          <w:lang w:val="uk-UA"/>
        </w:rPr>
        <w:t>перелік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286BEE" w:rsidRPr="00286BEE">
        <w:rPr>
          <w:rFonts w:ascii="Times New Roman" w:hAnsi="Times New Roman"/>
          <w:sz w:val="24"/>
          <w:szCs w:val="24"/>
          <w:lang w:val="uk-UA"/>
        </w:rPr>
        <w:t xml:space="preserve"> об’єктів у разі будівництва яких замовники (інвестори) не залучаються до пайової участі (внеску) у створенні і розвитку інженерно-транспортної та соціальної інфраструктури міста; </w:t>
      </w:r>
    </w:p>
    <w:p w:rsidR="00286BEE" w:rsidRPr="00286BEE" w:rsidRDefault="00286BEE" w:rsidP="00286BEE">
      <w:pPr>
        <w:tabs>
          <w:tab w:val="left" w:pos="-25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t xml:space="preserve">     - </w:t>
      </w:r>
      <w:r w:rsidR="003B04DE">
        <w:rPr>
          <w:rFonts w:ascii="Times New Roman" w:hAnsi="Times New Roman"/>
          <w:sz w:val="24"/>
          <w:szCs w:val="24"/>
          <w:lang w:val="uk-UA"/>
        </w:rPr>
        <w:t>строки</w:t>
      </w:r>
      <w:r w:rsidRPr="00286BEE">
        <w:rPr>
          <w:rFonts w:ascii="Times New Roman" w:hAnsi="Times New Roman"/>
          <w:sz w:val="24"/>
          <w:szCs w:val="24"/>
          <w:lang w:val="uk-UA"/>
        </w:rPr>
        <w:t xml:space="preserve"> укладення договорів про пайову участь (внесок) замовників (інвесторів) у створенні і розвитку інженерно-транспортної та </w:t>
      </w:r>
      <w:r w:rsidR="003B04DE">
        <w:rPr>
          <w:rFonts w:ascii="Times New Roman" w:hAnsi="Times New Roman"/>
          <w:sz w:val="24"/>
          <w:szCs w:val="24"/>
          <w:lang w:val="uk-UA"/>
        </w:rPr>
        <w:t>соціальної інфраструктури міста</w:t>
      </w:r>
      <w:r w:rsidRPr="00286BEE">
        <w:rPr>
          <w:rFonts w:ascii="Times New Roman" w:hAnsi="Times New Roman"/>
          <w:sz w:val="24"/>
          <w:szCs w:val="24"/>
          <w:lang w:val="uk-UA"/>
        </w:rPr>
        <w:t>.</w:t>
      </w:r>
    </w:p>
    <w:p w:rsidR="00286BEE" w:rsidRPr="00286BEE" w:rsidRDefault="00286BEE" w:rsidP="00286BEE">
      <w:pPr>
        <w:tabs>
          <w:tab w:val="left" w:pos="-25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6BEE">
        <w:rPr>
          <w:rFonts w:ascii="Times New Roman" w:hAnsi="Times New Roman"/>
          <w:sz w:val="24"/>
          <w:szCs w:val="24"/>
          <w:lang w:val="uk-UA"/>
        </w:rPr>
        <w:t xml:space="preserve">     Для впровадження цього регуляторного акта необхідно здійснити такі організаційні заходи як забезпечення інформування суб’єктів господарювання та громадськості про вимоги регуляторного акта шляхом оприлюднення його в засобах масової інформації, мережі Інтернет та проведення інформаційно-роз’яснювальної роботи виконавчими органами міської ради.</w:t>
      </w:r>
    </w:p>
    <w:p w:rsidR="00286BEE" w:rsidRPr="00286BEE" w:rsidRDefault="00286BEE" w:rsidP="00286BEE">
      <w:pPr>
        <w:tabs>
          <w:tab w:val="left" w:pos="-25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28"/>
          <w:lang w:val="uk-UA"/>
        </w:rPr>
      </w:pPr>
    </w:p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VІ.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643499" w:rsidRPr="009B7848" w:rsidRDefault="00643499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B7848" w:rsidRP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7848">
        <w:rPr>
          <w:rFonts w:ascii="Times New Roman" w:hAnsi="Times New Roman"/>
          <w:color w:val="000000"/>
          <w:sz w:val="24"/>
          <w:szCs w:val="24"/>
          <w:lang w:val="uk-UA"/>
        </w:rPr>
        <w:t>Виконання вимог запропонованого проекту регуляторного акта не потребує додаткових витрат з міського бюджету.</w:t>
      </w:r>
    </w:p>
    <w:p w:rsidR="003B04DE" w:rsidRDefault="003B04DE" w:rsidP="003B04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04DE">
        <w:rPr>
          <w:rFonts w:ascii="Times New Roman" w:hAnsi="Times New Roman"/>
          <w:sz w:val="24"/>
          <w:szCs w:val="24"/>
          <w:lang w:val="uk-UA"/>
        </w:rPr>
        <w:t xml:space="preserve">    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вимоги, оцінюються вище середнього.</w:t>
      </w:r>
    </w:p>
    <w:p w:rsidR="003B04DE" w:rsidRPr="003B04DE" w:rsidRDefault="003B04DE" w:rsidP="003B04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VІІ.</w:t>
      </w:r>
      <w:r w:rsidRPr="009B7848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Обґрунтування запропонованого строку дії регуляторного </w:t>
      </w:r>
      <w:proofErr w:type="spellStart"/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акта</w:t>
      </w:r>
      <w:proofErr w:type="spellEnd"/>
    </w:p>
    <w:p w:rsidR="00643499" w:rsidRPr="009B7848" w:rsidRDefault="00643499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B04DE" w:rsidRPr="003B04DE" w:rsidRDefault="003B04DE" w:rsidP="003B04D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B04D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B04DE">
        <w:rPr>
          <w:rFonts w:ascii="Times New Roman" w:hAnsi="Times New Roman"/>
          <w:sz w:val="24"/>
          <w:szCs w:val="24"/>
          <w:lang w:val="uk-UA"/>
        </w:rPr>
        <w:t xml:space="preserve">Строк дії цього регуляторного акта встановлюється на необмежений термін, оскільки він регулює відносини, які мають перманентний характер. </w:t>
      </w:r>
    </w:p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7848">
        <w:rPr>
          <w:rFonts w:ascii="Times New Roman" w:hAnsi="Times New Roman"/>
          <w:color w:val="000000"/>
          <w:sz w:val="24"/>
          <w:szCs w:val="24"/>
          <w:lang w:val="uk-UA"/>
        </w:rPr>
        <w:t>Регуляторний акт набирає чинності з моменту його прийняття</w:t>
      </w:r>
      <w:r w:rsidR="003B04DE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3B04DE" w:rsidRPr="009B7848" w:rsidRDefault="003B04DE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B7848" w:rsidRDefault="009B7848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VІІІ. Визначення показників результативності дії регуляторного </w:t>
      </w:r>
      <w:proofErr w:type="spellStart"/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акта</w:t>
      </w:r>
      <w:proofErr w:type="spellEnd"/>
    </w:p>
    <w:p w:rsidR="00643499" w:rsidRPr="009B7848" w:rsidRDefault="00643499" w:rsidP="009B7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>При відстеженні результативності регуляторного акта будуть використовуватися наступні показники:</w:t>
      </w: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    - кількість прийнятих в експлуатацію закінчених будівництвом об’єктів;</w:t>
      </w: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кількість укладених договорів про пайову участь (внесок) замовників (інвесторів) у створенні і розвитку інженерно-транспортної та соціальної інфраструктури міста;</w:t>
      </w: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кількість суб’єктів господарювання та фізичних осіб, які сплати кошти за договорами про пайову участь (внесок) замовників (інвесторів) у створенні і розвитку інженерно-транспортної та соціальної інфраструктури міста; </w:t>
      </w:r>
    </w:p>
    <w:p w:rsid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- обсяг сплачених замовниками (інвесторами) коштів до цільового фонду розвитку інженерно-транспортної та соціальної інфраструктури міста.</w:t>
      </w:r>
    </w:p>
    <w:p w:rsidR="00643499" w:rsidRDefault="00643499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B7848" w:rsidRDefault="009B7848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ІХ.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9B7848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акта</w:t>
      </w:r>
      <w:proofErr w:type="spellEnd"/>
    </w:p>
    <w:p w:rsidR="00643499" w:rsidRPr="009B7848" w:rsidRDefault="00643499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Відносно цього регуляторного акта повинно послідовно здійснюватися базове, повторне та періодичне відстеження його результативності.</w:t>
      </w: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Базове відстеження результативності регуляторного акта буде здійснюватися до дня набрання ним чинності.  </w:t>
      </w: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Повторне відстеження результативності регуляторного акта буде здійснюватися через рік після набрання ним чинності, але не пізніше двох років з дня набрання чинності цим актом. </w:t>
      </w:r>
    </w:p>
    <w:p w:rsidR="003B04DE" w:rsidRPr="003B04DE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Періодичні відстеження результативності регуляторного акта будуть здійснюватися один раз на кожні три роки, починаючи від дня закінчення заходів з повторного відстеження результативності цього акта.</w:t>
      </w:r>
    </w:p>
    <w:p w:rsidR="009B7848" w:rsidRDefault="003B04DE" w:rsidP="003B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04DE">
        <w:rPr>
          <w:rFonts w:ascii="Times New Roman" w:hAnsi="Times New Roman"/>
          <w:color w:val="000000"/>
          <w:sz w:val="24"/>
          <w:szCs w:val="24"/>
          <w:lang w:val="uk-UA"/>
        </w:rPr>
        <w:t xml:space="preserve">     Відстеження результативності дії регуляторного акта будуть здійснюватися статистичним методом.</w:t>
      </w:r>
      <w:bookmarkEnd w:id="0"/>
    </w:p>
    <w:sectPr w:rsidR="009B7848" w:rsidSect="00F774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D4F"/>
    <w:multiLevelType w:val="multilevel"/>
    <w:tmpl w:val="F0EC4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750081"/>
    <w:multiLevelType w:val="hybridMultilevel"/>
    <w:tmpl w:val="648A835A"/>
    <w:lvl w:ilvl="0" w:tplc="0FB61F7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048B5"/>
    <w:multiLevelType w:val="multilevel"/>
    <w:tmpl w:val="0F163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273C1"/>
    <w:multiLevelType w:val="multilevel"/>
    <w:tmpl w:val="1422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523E4"/>
    <w:multiLevelType w:val="multilevel"/>
    <w:tmpl w:val="484C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F0DEC"/>
    <w:multiLevelType w:val="multilevel"/>
    <w:tmpl w:val="A3BC0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95043"/>
    <w:multiLevelType w:val="multilevel"/>
    <w:tmpl w:val="C5D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C3951"/>
    <w:multiLevelType w:val="multilevel"/>
    <w:tmpl w:val="08DE8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55" w:hanging="615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3F270901"/>
    <w:multiLevelType w:val="multilevel"/>
    <w:tmpl w:val="5B3687A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5311F55"/>
    <w:multiLevelType w:val="multilevel"/>
    <w:tmpl w:val="8304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E37DE"/>
    <w:multiLevelType w:val="multilevel"/>
    <w:tmpl w:val="2234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95DA6"/>
    <w:multiLevelType w:val="multilevel"/>
    <w:tmpl w:val="F466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E568A"/>
    <w:multiLevelType w:val="multilevel"/>
    <w:tmpl w:val="666CD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E4266"/>
    <w:multiLevelType w:val="hybridMultilevel"/>
    <w:tmpl w:val="731EBD50"/>
    <w:lvl w:ilvl="0" w:tplc="9E92C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27363D"/>
    <w:multiLevelType w:val="multilevel"/>
    <w:tmpl w:val="2054B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91EFF"/>
    <w:multiLevelType w:val="hybridMultilevel"/>
    <w:tmpl w:val="99A82A10"/>
    <w:lvl w:ilvl="0" w:tplc="71041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24"/>
    <w:rsid w:val="000108EE"/>
    <w:rsid w:val="00096E54"/>
    <w:rsid w:val="000B6ADB"/>
    <w:rsid w:val="001509E1"/>
    <w:rsid w:val="00236E52"/>
    <w:rsid w:val="00286BEE"/>
    <w:rsid w:val="003B04DE"/>
    <w:rsid w:val="00443712"/>
    <w:rsid w:val="004717D7"/>
    <w:rsid w:val="004A155E"/>
    <w:rsid w:val="004B75B4"/>
    <w:rsid w:val="00567C14"/>
    <w:rsid w:val="005B4431"/>
    <w:rsid w:val="005C7324"/>
    <w:rsid w:val="00633049"/>
    <w:rsid w:val="00643499"/>
    <w:rsid w:val="006C116B"/>
    <w:rsid w:val="00734958"/>
    <w:rsid w:val="008A29EE"/>
    <w:rsid w:val="009B7848"/>
    <w:rsid w:val="00B96FBC"/>
    <w:rsid w:val="00BF7083"/>
    <w:rsid w:val="00C00B39"/>
    <w:rsid w:val="00C43E31"/>
    <w:rsid w:val="00DC6E9F"/>
    <w:rsid w:val="00DF1B20"/>
    <w:rsid w:val="00E30AC4"/>
    <w:rsid w:val="00E644B3"/>
    <w:rsid w:val="00EA4B27"/>
    <w:rsid w:val="00F00AD2"/>
    <w:rsid w:val="00F15C64"/>
    <w:rsid w:val="00F77464"/>
    <w:rsid w:val="00F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31F34-111F-4E3C-985F-734C5A77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C732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324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32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C732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7324"/>
    <w:pPr>
      <w:ind w:left="720"/>
      <w:contextualSpacing/>
    </w:pPr>
  </w:style>
  <w:style w:type="paragraph" w:styleId="a4">
    <w:name w:val="Body Text"/>
    <w:basedOn w:val="a"/>
    <w:link w:val="a5"/>
    <w:unhideWhenUsed/>
    <w:rsid w:val="005C7324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C732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rsid w:val="00BF7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04F2-AB74-419E-ADC9-08D54085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K10-1</dc:creator>
  <cp:lastModifiedBy>Lunev</cp:lastModifiedBy>
  <cp:revision>4</cp:revision>
  <dcterms:created xsi:type="dcterms:W3CDTF">2019-05-03T12:11:00Z</dcterms:created>
  <dcterms:modified xsi:type="dcterms:W3CDTF">2019-05-15T13:53:00Z</dcterms:modified>
</cp:coreProperties>
</file>