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1D" w:rsidRPr="00F07C1D" w:rsidRDefault="00F07C1D" w:rsidP="00F07C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>АНАЛІЗ РЕГУЛЯТОРНОГО ВПЛИВУ</w:t>
      </w:r>
    </w:p>
    <w:p w:rsidR="00F07C1D" w:rsidRDefault="00F07C1D" w:rsidP="00F07C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регуляторного акту – рішення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«Про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«Порядок проведення земельних торгів із продажу прав на земельні ділянки (оренди, </w:t>
      </w:r>
      <w:proofErr w:type="spellStart"/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>) комунальної власності, Сватівської міської ради Луганської області»</w:t>
      </w:r>
    </w:p>
    <w:p w:rsidR="00F07C1D" w:rsidRPr="00F07C1D" w:rsidRDefault="00F07C1D" w:rsidP="00F07C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Цей документ містить обґрунтування необхідності регулювання 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регуляторного акту –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«Порядок проведення земельних торгів із продажу прав на земельні ділянки 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) комунальної власності, Сватівської міської ради Луганської області».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Регуляторний акт розроблений відповідно до вимог, встановлених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Земельним кодексом України, законами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 Україні», Закону України «Про засади державної регуляторної політики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сфері господарської діяльності», постанови Кабінету Міністрів України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затвердження методик проведення аналізу впливу та відстеження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результативності регуляторн</w:t>
      </w:r>
      <w:r>
        <w:rPr>
          <w:rFonts w:ascii="Times New Roman" w:hAnsi="Times New Roman" w:cs="Times New Roman"/>
          <w:sz w:val="28"/>
          <w:szCs w:val="28"/>
          <w:lang w:val="uk-UA"/>
        </w:rPr>
        <w:t>ого акта» від 11.03.2004 № 308.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>1. Визначення та аналіз проблеми , яку передбачається розв’язати</w:t>
      </w:r>
    </w:p>
    <w:p w:rsidR="00F07C1D" w:rsidRDefault="00F07C1D" w:rsidP="00772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>шляхом прийняття регуляторного акту.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Частиною 2 статті 127 Земельного кодексу України встановлено,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продаж земельних ділянок державної та комунальної власності або прав на 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емфітемзісу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) на конкурентних засадах у формі аукціону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здійснюється у випадках та порядку, встановлених главою 21 цього Кодексу.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Глава 21 (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134-139) Земельного кодексу України встановлює,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земельні торги проводяться у формі аукціону, за результатами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якого укладається договір купівлі-продажу, 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земельної ділянки з учасником (переможцем) земельних торгів,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запропонував найвищу ціну за земельну ділянку, що продається, або найвищу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плату за користування нею, зафіксовану в ході проведення земельних торгів.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Закон також передбачає, що продаж земельних ділянок державної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або прав на них 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здійснюється виключно на земельних торгах.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Крім того, продаж земельних ділянок, що перебувають у приватній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власності, або прав на них 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емфітевзису)може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здійснюватися на земельних торгах виключно з ініціативи власників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ділянки. У такому разі земельні торги регулюються положенням цього Кодексу,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якщо інше не передбачено законом чи договором з виконавцем 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торгів.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Відповідно до закону, право на земельну ділянку, набуте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результатами проведення торгів, підлягає державній реєстрації в порядку,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визначеному законом.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в </w:t>
      </w:r>
      <w:r>
        <w:rPr>
          <w:rFonts w:ascii="Times New Roman" w:hAnsi="Times New Roman" w:cs="Times New Roman"/>
          <w:sz w:val="28"/>
          <w:szCs w:val="28"/>
          <w:lang w:val="uk-UA"/>
        </w:rPr>
        <w:t>Сватівській міській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відсутній нормативно - правовий акт, яким визначається процедура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проведення земельних торгів з продажу земельних ділянок або прав на 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емфітевзису) на конкурентних засадах, які проводяться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порядку, визначеному діючим законодавством України.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b/>
          <w:i/>
          <w:sz w:val="28"/>
          <w:szCs w:val="28"/>
          <w:lang w:val="uk-UA"/>
        </w:rPr>
        <w:t>Обґрунтування необхідності регулювання на державному рівні: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Процес організації та проведення земельних торгів з продажу прав на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(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, емфітевзису) на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конкурентнихзасадах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Сватівській міській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громаді полягає в поетапній підготовці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необхідних матеріалів відповідним підрозділом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Сватівської міської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ради. 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b/>
          <w:i/>
          <w:sz w:val="28"/>
          <w:szCs w:val="28"/>
          <w:lang w:val="uk-UA"/>
        </w:rPr>
        <w:t>Обґрунтування неможливості розв’язання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проблеми за допомогою чинного регулювання: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Станом на сьогодні створ</w:t>
      </w:r>
      <w:r>
        <w:rPr>
          <w:rFonts w:ascii="Times New Roman" w:hAnsi="Times New Roman" w:cs="Times New Roman"/>
          <w:sz w:val="28"/>
          <w:szCs w:val="28"/>
          <w:lang w:val="uk-UA"/>
        </w:rPr>
        <w:t>ено нормативно-правову базу, яка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правове регулювання земельних відносин у суспільстві, спрямованих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розвиток ринку землі. Це, передусім, Земельний кодекс України. Але,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зазначалось вище, він не забезпечує детальної регламентації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організатора земельних торгів – </w:t>
      </w:r>
      <w:r>
        <w:rPr>
          <w:rFonts w:ascii="Times New Roman" w:hAnsi="Times New Roman" w:cs="Times New Roman"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ради. Таким чином,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існує нагальна необхідність розробки проекту рішення сесії </w:t>
      </w:r>
      <w:r>
        <w:rPr>
          <w:rFonts w:ascii="Times New Roman" w:hAnsi="Times New Roman" w:cs="Times New Roman"/>
          <w:sz w:val="28"/>
          <w:szCs w:val="28"/>
          <w:lang w:val="uk-UA"/>
        </w:rPr>
        <w:t>Сватівської місько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ї ради «Про затвердження «Порядок проведення земельних торгів із продажу прав на земельні ділянки 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) комунальної власності, Сватівської міської ради Луганської області», яке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встановлювало дієві правові механізми щодо регулювання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організатора земельних торгів – </w:t>
      </w:r>
      <w:r>
        <w:rPr>
          <w:rFonts w:ascii="Times New Roman" w:hAnsi="Times New Roman" w:cs="Times New Roman"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ради, для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сприятливих умов для розвитку підприємницької та інвестиційної діяльності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громаді.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Default="00F07C1D" w:rsidP="00772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b/>
          <w:sz w:val="28"/>
          <w:szCs w:val="28"/>
          <w:lang w:val="uk-UA"/>
        </w:rPr>
        <w:t>2. Мета та цілі регулювання.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Зазначений регуляторний акт підготовлений з метою визначення чіткої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процедури організації та проведення земельних торгів з продажу прав </w:t>
      </w:r>
      <w:r>
        <w:rPr>
          <w:rFonts w:ascii="Times New Roman" w:hAnsi="Times New Roman" w:cs="Times New Roman"/>
          <w:sz w:val="28"/>
          <w:szCs w:val="28"/>
          <w:lang w:val="uk-UA"/>
        </w:rPr>
        <w:t>на земельні ділянки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емфітевзису) на конкурентних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асадах в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Сватівській міській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громаді, що проводяться 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порядку, визначеному діючим законодавством України.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Цілями регулювання є: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визначити процедуру організації та проведення земельних торгів з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продажу прав на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емфітевзису)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на конкурентних засадах в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Сватівській міській раді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проводяться в порядку, визначеному діючим законодавством України;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забезпечити ефективне використання земельних ресурсів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розвивати інфраструктуру територіальної громади;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сприяти підприємницькій та інвестиційній діяльності в громаді;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забезпечити надання фізичним та юридичним особам рівних прав та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можливостей для участі в торгах;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lastRenderedPageBreak/>
        <w:t>- збільшити надходження до місцевого бюджету;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підвищити прозорість дій органів місцевого самоврядування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шляхом встановлення чітких умов проведення торгів;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забезпечити відкритість, доступність інформації про проведення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торгів.</w:t>
      </w:r>
    </w:p>
    <w:p w:rsidR="00772448" w:rsidRDefault="00772448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Default="00F07C1D" w:rsidP="00772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448">
        <w:rPr>
          <w:rFonts w:ascii="Times New Roman" w:hAnsi="Times New Roman" w:cs="Times New Roman"/>
          <w:b/>
          <w:sz w:val="28"/>
          <w:szCs w:val="28"/>
          <w:lang w:val="uk-UA"/>
        </w:rPr>
        <w:t>3. Визначення та оцінка альтернативних способів досягнення</w:t>
      </w:r>
      <w:r w:rsidR="00772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2448">
        <w:rPr>
          <w:rFonts w:ascii="Times New Roman" w:hAnsi="Times New Roman" w:cs="Times New Roman"/>
          <w:b/>
          <w:sz w:val="28"/>
          <w:szCs w:val="28"/>
          <w:lang w:val="uk-UA"/>
        </w:rPr>
        <w:t>встановлених цілей.</w:t>
      </w:r>
    </w:p>
    <w:p w:rsidR="00772448" w:rsidRPr="00772448" w:rsidRDefault="00772448" w:rsidP="00772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Перша альтернатива - збереження нинішнього стану.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1. Відсутній нормативно – правовий акт, що забезпечить дотримання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передбачених законодавством норм та правил при вирішенні питання щодо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надання у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земельних ділянок та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прав на них (оренда,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суперфіцій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емфітевзис).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2. Немає системності, прозорості та чіткості при наданні у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або прав на них (оренда,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суперфіцій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емфітевзис).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Ці фактори негативно впливають на імідж громади та його інвестиційну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привабливість; не забезпечується рівень прав та можливостей суб’єктів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господарювання для участі у земельних торгах.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Друга альтернатива – затвердження рішення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772448" w:rsidRDefault="00F07C1D" w:rsidP="0077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«Про затвердження «</w:t>
      </w:r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проведення земельних торгів із продажу прав на земельні ділянки (оренди, </w:t>
      </w:r>
      <w:proofErr w:type="spellStart"/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>) комунальної власності, Сватівської міської ради Луганської області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Перевагами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обраного способу регулювання є: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1. Утворення постійної діючої комісії з підготовки земельних торгів 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Сватівській міській раді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2. Впорядкування відносин у сфері продажу користування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земельними ділянками комунальної власності.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3. Фізичним та юридичним особам будуть надані однаково прозорі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можливості для участі у земельних торгах.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4. Підвищення прогнозованості (передбачуваності бізнесу).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5. Забезпечення ефективного використання земельних ресурсів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6. Збільшення надходжень до місцевого бюджету.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Прийняття другої альтернативи забезпечує досягнення цілей; повністю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сприяє вирішенню проблеми; забезпечує впорядкування процедури організації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та проведення земельних торгів з продажу прав на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, емфітевзису) на конкурентних засадах в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Сватівській міській раді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, які проводяться в порядку, визначеному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діючим законодавством України.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Перший варіант неприйнятний, оскільки буде лише заглиблювати існуючі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проблеми і не сприятиме їх вирішенню. Суб’єкти господарювання не матимуть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чіткий алгоритм процедури організації та проведення земельних торгів з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продажу прав на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(ор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енди, </w:t>
      </w:r>
      <w:proofErr w:type="spellStart"/>
      <w:r w:rsidR="00772448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емфітевзису) 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на конкурентних засадах в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Сватівській міській раді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проводяться в порядку, визначеному діючим законодавством України.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З огляду на зазначене, обрано шлях врегулювання зазначених вище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правовідносин шляхом прийняття рішення сесії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Сватівської міської ради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наведеній вище редакції. В результаті буде запроваджено чіткий механізм щодо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земельних торгів з продажу прав на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(оренди,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>, емфітевзису).</w:t>
      </w:r>
    </w:p>
    <w:p w:rsidR="00772448" w:rsidRPr="00F07C1D" w:rsidRDefault="00772448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Default="00F07C1D" w:rsidP="00772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448">
        <w:rPr>
          <w:rFonts w:ascii="Times New Roman" w:hAnsi="Times New Roman" w:cs="Times New Roman"/>
          <w:b/>
          <w:sz w:val="28"/>
          <w:szCs w:val="28"/>
          <w:lang w:val="uk-UA"/>
        </w:rPr>
        <w:t>4. Механізм та заходи, що пропонуються для розв’язання проблеми.</w:t>
      </w:r>
    </w:p>
    <w:p w:rsidR="00772448" w:rsidRPr="00772448" w:rsidRDefault="00772448" w:rsidP="00772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Проектом регуляторного акта для забезпечення реалізації поставленої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мети є забезпечення прозорого процесу проведення земельних торгів, захист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інтересів територіальної громади та суб’єктів господарювання, їх взаємне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балансування, встановлення та контроль за виконанням прозорих і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справедливих правил поведінки для учасників, обмеження прямого втручання 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ринкову систему чіткими та зрозумілими критеріями тощо.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Механізмами та заходами для розв’язання проблеми є: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розміщення інформації про умови проведення земельних торгів в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офіційних засобах масової інформації;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прийняття документів на участь в земельних торгах;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проведення земельних торгів та визначення переможців.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Організаційні заходи, що мають здійснити виконавчі органи міської ради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для впровадження регуляторного акта: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розробка проекту регуляторного акта «</w:t>
      </w:r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проведення земельних торгів із продажу прав на земельні ділянки (оренди, </w:t>
      </w:r>
      <w:proofErr w:type="spellStart"/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>) комунальної власності, Сватівської міської ради Луганської області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» відповідно до цілей державного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регулювання;</w:t>
      </w:r>
    </w:p>
    <w:p w:rsidR="00F07C1D" w:rsidRPr="00F07C1D" w:rsidRDefault="00F07C1D" w:rsidP="0077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- затвердження проекту регуляторного акта на сесії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- оприлюднення на офіційному веб-сайті 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>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77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проекту рішення «Про затвердження «</w:t>
      </w:r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проведення земельних торгів із продажу прав на земельні ділянки (оренди, </w:t>
      </w:r>
      <w:proofErr w:type="spellStart"/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772448" w:rsidRPr="00772448">
        <w:rPr>
          <w:rFonts w:ascii="Times New Roman" w:hAnsi="Times New Roman" w:cs="Times New Roman"/>
          <w:sz w:val="28"/>
          <w:szCs w:val="28"/>
          <w:lang w:val="uk-UA"/>
        </w:rPr>
        <w:t xml:space="preserve">) комунальної власності, Сватівської міської ради Луганської області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і».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Запропоновані заходи відповідають принципам державної регуляторної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політики, а саме: доцільності, адекватності, ефективності, передбачуваності,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принципу прозорості та врахування громадської думки. Також вирішення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проблеми позитивно впливає на розвиток підприємництва.</w:t>
      </w:r>
    </w:p>
    <w:p w:rsidR="002D7B57" w:rsidRPr="00F07C1D" w:rsidRDefault="002D7B57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2D7B57" w:rsidRDefault="00F07C1D" w:rsidP="002D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B57">
        <w:rPr>
          <w:rFonts w:ascii="Times New Roman" w:hAnsi="Times New Roman" w:cs="Times New Roman"/>
          <w:b/>
          <w:sz w:val="28"/>
          <w:szCs w:val="28"/>
          <w:lang w:val="uk-UA"/>
        </w:rPr>
        <w:t>5. Можливість досягнення визначених цілей у разі прийняття</w:t>
      </w:r>
      <w:r w:rsidR="002D7B57" w:rsidRPr="002D7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B57">
        <w:rPr>
          <w:rFonts w:ascii="Times New Roman" w:hAnsi="Times New Roman" w:cs="Times New Roman"/>
          <w:b/>
          <w:sz w:val="28"/>
          <w:szCs w:val="28"/>
          <w:lang w:val="uk-UA"/>
        </w:rPr>
        <w:t>регуляторного акту.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F07C1D" w:rsidRDefault="00F07C1D" w:rsidP="002D7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Досягнення мети та цілей у разі прийняття рішення є цілком реальною, не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потребує додаткових витрат та забезпечується у разі сумлінного виконання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його вимог суб’єктами господарювання. Рівень впровадження та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виконання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вимог акта оцінюються як достатній та відповідає тим ресурсам, якими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розпоряджаються виконавчі органи 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Основними зовнішніми чинниками, що можуть вплинути на дію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регуляторного акту є: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політико-правові: у разі настання політичної нестабільності,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введення надзвичайного стану, змін в чинному законодавстві;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природно-екологічні: у разі стихійного лиха;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соціально-культурні: у разі соціальної напруженості в суспільстві,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рівня урбанізації, зміни демографічної ситуації в країні;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- економічні: у разі інфляції, прискорення або уповільнення темпів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економічного зростання, залучення інвестицій, змін у фінансово-кредитній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системі країни, посилення державного регулювання.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Найбільш значний вплив зовнішніх факторів на дію вищезазначеного акта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можливий при виникненні змін у чинному законодавстві. В цьому випадку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може мати місце невідповідність положень регуляторного акту нормам, що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встановлюються нормативно-правовим актом вищої юридичної сили. Зазначена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обставина негативно вплине на виконання вимог акта, проте може бути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подолана шляхом внесення відповідних коригувань до нього.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Можливість досягнення цілей передбачених пунктом 2 цього Аналізу, у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разі прийняття зазначеного регуляторного акту є цілком реальною та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обґрунтованою у зв’язку з тим, що метою прийняття даного регуляторного акту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є цілеспрямоване вирішення зазначеної проблеми. Поширення дії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регуляторного акту на широке коло фізичних та юридичних осіб дає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 та органу місцевого самоврядування можливість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врегулювання відносин щодо продажу прав на 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виключно на земельних торгах, збільшення надходжень до бюджету з метою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впровадження програм розвитку громади.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Завдяки даному регуляторному акту підвищується інформованість осіб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щодо проведення земельних торгів, встановлюються чіткі процедурні умови,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підвищується прогнозованість (передбачуваність бізнесу), унеможливлюються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зловживання та корупційні дії.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Для реалізації заходів цього регуляторного акту необхідно фінансування з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місцевого бюджету. За рахунок коштів організатора земельних торгів –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 здійснюється підготовка лотів до проведення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земельних торгів, сплачується винагорода виконавцю земельних торгів.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Даним проектом регуляторного акту не передбачається настання будь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якої можливої шкоди. Державний нагляд та контроль за виконанням вимог акту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здійснює виконавчий комітет 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>Сватівської міської ради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дії</w:t>
      </w:r>
      <w:r w:rsidR="002D7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регуляторного акту.</w:t>
      </w:r>
    </w:p>
    <w:p w:rsidR="002D7B57" w:rsidRPr="00F07C1D" w:rsidRDefault="002D7B57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2D7B57" w:rsidRDefault="00F07C1D" w:rsidP="002D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B57">
        <w:rPr>
          <w:rFonts w:ascii="Times New Roman" w:hAnsi="Times New Roman" w:cs="Times New Roman"/>
          <w:b/>
          <w:sz w:val="28"/>
          <w:szCs w:val="28"/>
          <w:lang w:val="uk-UA"/>
        </w:rPr>
        <w:t>6. Очікувані результати прийняття регуляторного акта.</w:t>
      </w:r>
    </w:p>
    <w:p w:rsidR="002D7B57" w:rsidRPr="00F07C1D" w:rsidRDefault="002D7B57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F07C1D" w:rsidRDefault="00F07C1D" w:rsidP="00A53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Нижче наведена таблиця з очікуваними результатами прийняття рішення</w:t>
      </w:r>
      <w:r w:rsidR="00A531E9">
        <w:rPr>
          <w:rFonts w:ascii="Times New Roman" w:hAnsi="Times New Roman" w:cs="Times New Roman"/>
          <w:sz w:val="28"/>
          <w:szCs w:val="28"/>
          <w:lang w:val="uk-UA"/>
        </w:rPr>
        <w:t xml:space="preserve"> Сватівської міської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ради «Про затвердження «</w:t>
      </w:r>
      <w:r w:rsidR="00A531E9" w:rsidRPr="00A531E9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проведення </w:t>
      </w:r>
      <w:r w:rsidR="00A531E9" w:rsidRPr="00A531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земельних торгів із продажу прав на земельні ділянки (оренди, </w:t>
      </w:r>
      <w:proofErr w:type="spellStart"/>
      <w:r w:rsidR="00A531E9" w:rsidRPr="00A531E9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A531E9" w:rsidRPr="00A531E9">
        <w:rPr>
          <w:rFonts w:ascii="Times New Roman" w:hAnsi="Times New Roman" w:cs="Times New Roman"/>
          <w:sz w:val="28"/>
          <w:szCs w:val="28"/>
          <w:lang w:val="uk-UA"/>
        </w:rPr>
        <w:t>) комунальної власності, Сватівської міської ради Луганської області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531E9" w:rsidRDefault="00A531E9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20" w:type="dxa"/>
        <w:tblLook w:val="04A0" w:firstRow="1" w:lastRow="0" w:firstColumn="1" w:lastColumn="0" w:noHBand="0" w:noVBand="1"/>
      </w:tblPr>
      <w:tblGrid>
        <w:gridCol w:w="2660"/>
        <w:gridCol w:w="3969"/>
        <w:gridCol w:w="3191"/>
      </w:tblGrid>
      <w:tr w:rsidR="00A531E9" w:rsidTr="00AF427F">
        <w:tc>
          <w:tcPr>
            <w:tcW w:w="2660" w:type="dxa"/>
          </w:tcPr>
          <w:p w:rsidR="00A531E9" w:rsidRDefault="00A531E9" w:rsidP="00F07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Сфера впливу регуляторного акту</w:t>
            </w:r>
          </w:p>
        </w:tc>
        <w:tc>
          <w:tcPr>
            <w:tcW w:w="3969" w:type="dxa"/>
          </w:tcPr>
          <w:p w:rsidR="00A531E9" w:rsidRDefault="00A531E9" w:rsidP="00F07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191" w:type="dxa"/>
          </w:tcPr>
          <w:p w:rsidR="00A531E9" w:rsidRDefault="00A531E9" w:rsidP="00F07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</w:tr>
      <w:tr w:rsidR="00A531E9" w:rsidTr="00AF427F">
        <w:tc>
          <w:tcPr>
            <w:tcW w:w="2660" w:type="dxa"/>
          </w:tcPr>
          <w:p w:rsidR="00A531E9" w:rsidRDefault="00A531E9" w:rsidP="00F07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  <w:tc>
          <w:tcPr>
            <w:tcW w:w="3969" w:type="dxa"/>
          </w:tcPr>
          <w:p w:rsidR="00A531E9" w:rsidRDefault="00A531E9" w:rsidP="00A531E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чітка координація дій при прийнятті управлінських рішень, підвищення прозорості дій місцевої влади (надання фізичним та юридичним особам однаково рівних можливостей для участі у земельних торгах);</w:t>
            </w:r>
          </w:p>
          <w:p w:rsidR="00A531E9" w:rsidRDefault="00A531E9" w:rsidP="00A531E9">
            <w:pPr>
              <w:pStyle w:val="a4"/>
              <w:numPr>
                <w:ilvl w:val="0"/>
                <w:numId w:val="1"/>
              </w:numPr>
              <w:tabs>
                <w:tab w:val="left" w:pos="35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іміджу,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довіри до місцевої влади;</w:t>
            </w:r>
          </w:p>
          <w:p w:rsidR="00A531E9" w:rsidRDefault="00A531E9" w:rsidP="00A531E9">
            <w:pPr>
              <w:pStyle w:val="a4"/>
              <w:numPr>
                <w:ilvl w:val="0"/>
                <w:numId w:val="1"/>
              </w:numPr>
              <w:tabs>
                <w:tab w:val="left" w:pos="21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збільшення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адходжень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місцевого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531E9" w:rsidRPr="00A531E9" w:rsidRDefault="00A531E9" w:rsidP="00A531E9">
            <w:pPr>
              <w:pStyle w:val="a4"/>
              <w:numPr>
                <w:ilvl w:val="0"/>
                <w:numId w:val="1"/>
              </w:numPr>
              <w:tabs>
                <w:tab w:val="left" w:pos="21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винагорода виконавця земельних торгів встановлюється у розмірі 50% річної плати за користування земельною ділянкою (в разі продажу прав на земельну ділянку (оренди, </w:t>
            </w:r>
            <w:proofErr w:type="spellStart"/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суперфіцію</w:t>
            </w:r>
            <w:proofErr w:type="spellEnd"/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емфітевзису), але не більш як 2000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неоподаткованих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інімумів доходів громадян за кожен лот  </w:t>
            </w:r>
          </w:p>
          <w:p w:rsidR="00A531E9" w:rsidRPr="00A531E9" w:rsidRDefault="00A531E9" w:rsidP="00A531E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збільшення надходжень до місцевого бюджету від продажу прав на </w:t>
            </w:r>
            <w:r w:rsid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земельні ділянки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427F" w:rsidRDefault="00A531E9" w:rsidP="00AF427F">
            <w:pPr>
              <w:pStyle w:val="a4"/>
              <w:numPr>
                <w:ilvl w:val="0"/>
                <w:numId w:val="1"/>
              </w:numPr>
              <w:tabs>
                <w:tab w:val="left" w:pos="21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ефективного </w:t>
            </w:r>
            <w:r w:rsidR="00AF427F"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икористання ресурсів, підвищення</w:t>
            </w:r>
            <w:r w:rsidR="00AF427F"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нвестиційної привабливості </w:t>
            </w:r>
            <w:r w:rsid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ериторіальної громади </w:t>
            </w:r>
          </w:p>
          <w:p w:rsidR="00A531E9" w:rsidRPr="00A531E9" w:rsidRDefault="00A531E9" w:rsidP="00AF427F">
            <w:pPr>
              <w:pStyle w:val="a4"/>
              <w:numPr>
                <w:ilvl w:val="0"/>
                <w:numId w:val="1"/>
              </w:numPr>
              <w:tabs>
                <w:tab w:val="left" w:pos="21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приведення місцевої нормативно-правової бази у відповідність до вимог</w:t>
            </w:r>
          </w:p>
          <w:p w:rsidR="00A531E9" w:rsidRPr="00A531E9" w:rsidRDefault="00A531E9" w:rsidP="00AF427F">
            <w:pPr>
              <w:pStyle w:val="a4"/>
              <w:tabs>
                <w:tab w:val="left" w:pos="21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чинного законодавства України </w:t>
            </w:r>
          </w:p>
        </w:tc>
        <w:tc>
          <w:tcPr>
            <w:tcW w:w="3191" w:type="dxa"/>
          </w:tcPr>
          <w:p w:rsidR="00A531E9" w:rsidRPr="00A531E9" w:rsidRDefault="00A531E9" w:rsidP="00A531E9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часові витрати</w:t>
            </w:r>
          </w:p>
          <w:p w:rsidR="00A531E9" w:rsidRDefault="00A531E9" w:rsidP="00A531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труктурних підрозділів виконавчого комітету міської ради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розробку умов та безпосереднє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 земельних торгів;</w:t>
            </w:r>
          </w:p>
          <w:p w:rsidR="00A531E9" w:rsidRDefault="00A531E9" w:rsidP="00A531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лотів до проведення земельних торгів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31E9" w:rsidRDefault="00A531E9" w:rsidP="00A531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винагорода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531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виконавцю земельних торгів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427F" w:rsidRDefault="00AF427F" w:rsidP="00AF4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недоотримання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бюджетом плати за земельні ділянки у разі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відсутності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427F" w:rsidRDefault="00AF427F" w:rsidP="00AF4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витрати, пов’язані з впровадженням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контролем за дотриманням вимог регуляторного акту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531E9" w:rsidTr="00AF427F">
        <w:tc>
          <w:tcPr>
            <w:tcW w:w="2660" w:type="dxa"/>
          </w:tcPr>
          <w:p w:rsidR="00A531E9" w:rsidRDefault="00AF427F" w:rsidP="00F07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C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 підприємницької діяльності</w:t>
            </w:r>
          </w:p>
        </w:tc>
        <w:tc>
          <w:tcPr>
            <w:tcW w:w="3969" w:type="dxa"/>
          </w:tcPr>
          <w:p w:rsidR="00AF427F" w:rsidRPr="00AF427F" w:rsidRDefault="00AF427F" w:rsidP="00AF427F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права на участь у</w:t>
            </w:r>
          </w:p>
          <w:p w:rsidR="00A531E9" w:rsidRDefault="00AF427F" w:rsidP="00AF427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земельних торгах за інвестиційно-привабливу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земельну ділянку;</w:t>
            </w:r>
          </w:p>
          <w:p w:rsidR="00AF427F" w:rsidRPr="00AF427F" w:rsidRDefault="00AF427F" w:rsidP="00AF427F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рогнозованості, передбачуваності бізнесу</w:t>
            </w:r>
          </w:p>
        </w:tc>
        <w:tc>
          <w:tcPr>
            <w:tcW w:w="3191" w:type="dxa"/>
          </w:tcPr>
          <w:p w:rsidR="00AF427F" w:rsidRPr="00AF427F" w:rsidRDefault="00AF427F" w:rsidP="00AF427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сплата</w:t>
            </w:r>
          </w:p>
          <w:p w:rsidR="00A531E9" w:rsidRDefault="00AF427F" w:rsidP="00AF427F">
            <w:pPr>
              <w:tabs>
                <w:tab w:val="left" w:pos="317"/>
              </w:tabs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реєстраційного та гарантійного внесків</w:t>
            </w:r>
          </w:p>
          <w:p w:rsidR="00AF427F" w:rsidRDefault="00AF427F" w:rsidP="00AF4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427F" w:rsidTr="00AF427F">
        <w:tc>
          <w:tcPr>
            <w:tcW w:w="2660" w:type="dxa"/>
          </w:tcPr>
          <w:p w:rsidR="00AF427F" w:rsidRPr="00F07C1D" w:rsidRDefault="00AF427F" w:rsidP="00F07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3969" w:type="dxa"/>
          </w:tcPr>
          <w:p w:rsidR="00AF427F" w:rsidRPr="00AF427F" w:rsidRDefault="00AF427F" w:rsidP="00AF427F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права на участь у земельних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торгах за інвестиційно привабливу земельну ділянку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427F" w:rsidRPr="00AF427F" w:rsidRDefault="00AF427F" w:rsidP="00AF427F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максимальне задоволення споживчого попиту, реалізація</w:t>
            </w:r>
          </w:p>
          <w:p w:rsidR="00AF427F" w:rsidRPr="00AF427F" w:rsidRDefault="00AF427F" w:rsidP="00AF427F">
            <w:pPr>
              <w:pStyle w:val="a4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конституційних прав громадян</w:t>
            </w:r>
          </w:p>
        </w:tc>
        <w:tc>
          <w:tcPr>
            <w:tcW w:w="3191" w:type="dxa"/>
          </w:tcPr>
          <w:p w:rsidR="00AF427F" w:rsidRPr="00AF427F" w:rsidRDefault="00AF427F" w:rsidP="00AF427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сплата реєстраційного та гарантійного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F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внесків</w:t>
            </w:r>
          </w:p>
        </w:tc>
      </w:tr>
    </w:tbl>
    <w:p w:rsidR="00A531E9" w:rsidRDefault="00A531E9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В результаті досягнення визначених цілей буде отримано загальний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позитивний ефект від запровадження даного регуляторного акту. По даним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проведеного аналізу щодо визначення витрат та вигод, можна зробити їх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оцінювання. Вигід від впровадження регуляторного акту більше, ніж витрат.</w:t>
      </w:r>
    </w:p>
    <w:p w:rsidR="00AF427F" w:rsidRPr="00F07C1D" w:rsidRDefault="00AF427F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AF427F" w:rsidRDefault="00F07C1D" w:rsidP="00AF42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27F">
        <w:rPr>
          <w:rFonts w:ascii="Times New Roman" w:hAnsi="Times New Roman" w:cs="Times New Roman"/>
          <w:b/>
          <w:sz w:val="28"/>
          <w:szCs w:val="28"/>
          <w:lang w:val="uk-UA"/>
        </w:rPr>
        <w:t>7. Строк дії регуляторного акта.</w:t>
      </w:r>
    </w:p>
    <w:p w:rsidR="00AF427F" w:rsidRPr="00F07C1D" w:rsidRDefault="00AF427F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Строк дії «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F427F" w:rsidRPr="00AF427F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земельних торгів із продажу прав на земельні ділянки (оренди, </w:t>
      </w:r>
      <w:proofErr w:type="spellStart"/>
      <w:r w:rsidR="00AF427F" w:rsidRPr="00AF427F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AF427F" w:rsidRPr="00AF427F">
        <w:rPr>
          <w:rFonts w:ascii="Times New Roman" w:hAnsi="Times New Roman" w:cs="Times New Roman"/>
          <w:sz w:val="28"/>
          <w:szCs w:val="28"/>
          <w:lang w:val="uk-UA"/>
        </w:rPr>
        <w:t>) комунальної власності, Сватівської міської ради Луганської області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» встановлюється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довгостроково, без обмеження терміну дій регуляторного акту. У разі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виникнення потреби, у зв’язку зі зміною чинного законодавства України та за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підсумками аналізу відстеження його результативності, вноситимуться зміни до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запропонованого регуляторного акту. 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AF427F" w:rsidRDefault="00F07C1D" w:rsidP="00AF42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27F">
        <w:rPr>
          <w:rFonts w:ascii="Times New Roman" w:hAnsi="Times New Roman" w:cs="Times New Roman"/>
          <w:b/>
          <w:sz w:val="28"/>
          <w:szCs w:val="28"/>
          <w:lang w:val="uk-UA"/>
        </w:rPr>
        <w:t>8. Показники результативності регуляторного акта.</w:t>
      </w:r>
    </w:p>
    <w:p w:rsidR="00AF427F" w:rsidRPr="00F07C1D" w:rsidRDefault="00AF427F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Виходячи з цілей державного регулювання, для відстеження</w:t>
      </w:r>
      <w:r w:rsidR="00AF4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результативності цього регуляторного акту обрано статистичні показники :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1. Розмір надходжень до місцевого бюджету коштів від продажу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прав на 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, пов’язаних з дією акту;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2. Кількість проведених земельних торгів;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3. Кількість суб’єктів господарювання та/або фізичних осіб, на яких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поширюватиметься дія акту;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4. Розмір коштів і час, що витрачатимуться органом місцевого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самоврядування, які пов’язані з виконанням вимог акту;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5. Рівень поінформованості суб’єктів господарювання та/або </w:t>
      </w:r>
      <w:proofErr w:type="spellStart"/>
      <w:r w:rsidRPr="00F07C1D">
        <w:rPr>
          <w:rFonts w:ascii="Times New Roman" w:hAnsi="Times New Roman" w:cs="Times New Roman"/>
          <w:sz w:val="28"/>
          <w:szCs w:val="28"/>
          <w:lang w:val="uk-UA"/>
        </w:rPr>
        <w:t>фізичнихосіб</w:t>
      </w:r>
      <w:proofErr w:type="spellEnd"/>
      <w:r w:rsidRPr="00F07C1D">
        <w:rPr>
          <w:rFonts w:ascii="Times New Roman" w:hAnsi="Times New Roman" w:cs="Times New Roman"/>
          <w:sz w:val="28"/>
          <w:szCs w:val="28"/>
          <w:lang w:val="uk-UA"/>
        </w:rPr>
        <w:t xml:space="preserve"> з основних положень акту;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6. Кількість виставлених для продажу та проданих земельних ділянок,пов’язаних з дією акту;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7. Площа виставлених для продажу та проданих земельних ділянок,пов’язаних з дією акту;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8. Кількість проданих земельних ділянок або прав на них, пов’язаних з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дією акту, за цільовим призначенням.</w:t>
      </w:r>
    </w:p>
    <w:p w:rsid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визначення ступеню досягнення очікуваних результатів та цілей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регулювання слід застосувати прогнозні показники результативності (такі ж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самі, що наведені вище).</w:t>
      </w:r>
    </w:p>
    <w:p w:rsidR="003F283C" w:rsidRPr="00F07C1D" w:rsidRDefault="003F283C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C1D" w:rsidRDefault="00F07C1D" w:rsidP="003F28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83C">
        <w:rPr>
          <w:rFonts w:ascii="Times New Roman" w:hAnsi="Times New Roman" w:cs="Times New Roman"/>
          <w:b/>
          <w:sz w:val="28"/>
          <w:szCs w:val="28"/>
          <w:lang w:val="uk-UA"/>
        </w:rPr>
        <w:t>9. Заходи за допомогою яких буде здійснюватися відстеження</w:t>
      </w:r>
      <w:r w:rsidR="003F283C" w:rsidRPr="003F2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283C">
        <w:rPr>
          <w:rFonts w:ascii="Times New Roman" w:hAnsi="Times New Roman" w:cs="Times New Roman"/>
          <w:b/>
          <w:sz w:val="28"/>
          <w:szCs w:val="28"/>
          <w:lang w:val="uk-UA"/>
        </w:rPr>
        <w:t>результативності регуляторного акта.</w:t>
      </w:r>
    </w:p>
    <w:p w:rsidR="003F283C" w:rsidRPr="003F283C" w:rsidRDefault="003F283C" w:rsidP="003F28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Відстеження результативності регуляторного акту буде здійснюватися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відповідно до ст. 10 Закону України «Про засади державної регуляторної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політики у сфері господарської діяльності» шляхом застосування базового та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повторного відстеження.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Базове відстеження результативності регуляторного акту проведено на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етапі його підготовки, до набрання чинності даного регуляторного акту.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Повторне – через рік з дня набрання чинності актом або більшістю його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положень, але не пізніше ніж через два роки.</w:t>
      </w:r>
    </w:p>
    <w:p w:rsidR="00F07C1D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Для здійснення відстеження результативності регуляторного акту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планується використання статистичних даних. В рамках статистичного методу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відстеження буде проведено аналіз показників, що визначені у попередньому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розділі регуляторного акту.</w:t>
      </w:r>
    </w:p>
    <w:p w:rsidR="001B505F" w:rsidRPr="00F07C1D" w:rsidRDefault="00F07C1D" w:rsidP="00F07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C1D">
        <w:rPr>
          <w:rFonts w:ascii="Times New Roman" w:hAnsi="Times New Roman" w:cs="Times New Roman"/>
          <w:sz w:val="28"/>
          <w:szCs w:val="28"/>
          <w:lang w:val="uk-UA"/>
        </w:rPr>
        <w:t>За результатами відстеження буде прийматися рішення щодо внесення</w:t>
      </w:r>
      <w:r w:rsidR="003F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C1D">
        <w:rPr>
          <w:rFonts w:ascii="Times New Roman" w:hAnsi="Times New Roman" w:cs="Times New Roman"/>
          <w:sz w:val="28"/>
          <w:szCs w:val="28"/>
          <w:lang w:val="uk-UA"/>
        </w:rPr>
        <w:t>змін до рішення або залишення цього регуляторного акту без змін.</w:t>
      </w:r>
    </w:p>
    <w:sectPr w:rsidR="001B505F" w:rsidRPr="00F0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5B2"/>
    <w:multiLevelType w:val="hybridMultilevel"/>
    <w:tmpl w:val="5CD2642E"/>
    <w:lvl w:ilvl="0" w:tplc="C882DB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1D"/>
    <w:rsid w:val="00006BD9"/>
    <w:rsid w:val="00010D55"/>
    <w:rsid w:val="00013616"/>
    <w:rsid w:val="00014377"/>
    <w:rsid w:val="00017CFA"/>
    <w:rsid w:val="000322A9"/>
    <w:rsid w:val="0003352E"/>
    <w:rsid w:val="00033963"/>
    <w:rsid w:val="00034421"/>
    <w:rsid w:val="00034DD6"/>
    <w:rsid w:val="000361B8"/>
    <w:rsid w:val="00045DC5"/>
    <w:rsid w:val="00052E54"/>
    <w:rsid w:val="000557E6"/>
    <w:rsid w:val="00057DDD"/>
    <w:rsid w:val="000637E5"/>
    <w:rsid w:val="0006593B"/>
    <w:rsid w:val="000700B5"/>
    <w:rsid w:val="00071305"/>
    <w:rsid w:val="00071A39"/>
    <w:rsid w:val="0007207B"/>
    <w:rsid w:val="00073CBE"/>
    <w:rsid w:val="00074E6E"/>
    <w:rsid w:val="00077BB6"/>
    <w:rsid w:val="00080400"/>
    <w:rsid w:val="000819D9"/>
    <w:rsid w:val="000834CE"/>
    <w:rsid w:val="000845B3"/>
    <w:rsid w:val="00087F36"/>
    <w:rsid w:val="00093006"/>
    <w:rsid w:val="0009333E"/>
    <w:rsid w:val="00096BF3"/>
    <w:rsid w:val="000A2630"/>
    <w:rsid w:val="000A72DB"/>
    <w:rsid w:val="000B2BCC"/>
    <w:rsid w:val="000B3EAB"/>
    <w:rsid w:val="000B4A1C"/>
    <w:rsid w:val="000B599B"/>
    <w:rsid w:val="000B6A6A"/>
    <w:rsid w:val="000C04CA"/>
    <w:rsid w:val="000C5FFB"/>
    <w:rsid w:val="000C6B60"/>
    <w:rsid w:val="000D11DD"/>
    <w:rsid w:val="000D1C01"/>
    <w:rsid w:val="000D27C3"/>
    <w:rsid w:val="000D5FC1"/>
    <w:rsid w:val="000D6A4C"/>
    <w:rsid w:val="000D72E4"/>
    <w:rsid w:val="000D7AD4"/>
    <w:rsid w:val="000E0258"/>
    <w:rsid w:val="000F188F"/>
    <w:rsid w:val="000F296D"/>
    <w:rsid w:val="000F4A49"/>
    <w:rsid w:val="000F526E"/>
    <w:rsid w:val="000F52B9"/>
    <w:rsid w:val="000F6843"/>
    <w:rsid w:val="001000B0"/>
    <w:rsid w:val="00102493"/>
    <w:rsid w:val="00104D0F"/>
    <w:rsid w:val="0010603D"/>
    <w:rsid w:val="001075E2"/>
    <w:rsid w:val="00111114"/>
    <w:rsid w:val="00112068"/>
    <w:rsid w:val="00114F89"/>
    <w:rsid w:val="00115D28"/>
    <w:rsid w:val="0011650D"/>
    <w:rsid w:val="00120F0A"/>
    <w:rsid w:val="00125B0D"/>
    <w:rsid w:val="00127A16"/>
    <w:rsid w:val="00131604"/>
    <w:rsid w:val="00131825"/>
    <w:rsid w:val="00132517"/>
    <w:rsid w:val="00132D96"/>
    <w:rsid w:val="00135657"/>
    <w:rsid w:val="00141232"/>
    <w:rsid w:val="001429DB"/>
    <w:rsid w:val="00143CED"/>
    <w:rsid w:val="00155294"/>
    <w:rsid w:val="001609F0"/>
    <w:rsid w:val="0016123E"/>
    <w:rsid w:val="00161E10"/>
    <w:rsid w:val="00162DE5"/>
    <w:rsid w:val="00164D71"/>
    <w:rsid w:val="0016792F"/>
    <w:rsid w:val="00176E3D"/>
    <w:rsid w:val="0017732D"/>
    <w:rsid w:val="001807A0"/>
    <w:rsid w:val="00182723"/>
    <w:rsid w:val="00182B45"/>
    <w:rsid w:val="00185266"/>
    <w:rsid w:val="00185A60"/>
    <w:rsid w:val="00186372"/>
    <w:rsid w:val="00190EBB"/>
    <w:rsid w:val="00191749"/>
    <w:rsid w:val="00191D29"/>
    <w:rsid w:val="001924B1"/>
    <w:rsid w:val="001952B2"/>
    <w:rsid w:val="00197452"/>
    <w:rsid w:val="001A03BA"/>
    <w:rsid w:val="001A219B"/>
    <w:rsid w:val="001A31EB"/>
    <w:rsid w:val="001A3C79"/>
    <w:rsid w:val="001A6E25"/>
    <w:rsid w:val="001B2F01"/>
    <w:rsid w:val="001B3562"/>
    <w:rsid w:val="001B42B9"/>
    <w:rsid w:val="001B43D2"/>
    <w:rsid w:val="001B4826"/>
    <w:rsid w:val="001B505F"/>
    <w:rsid w:val="001B51BD"/>
    <w:rsid w:val="001C40BE"/>
    <w:rsid w:val="001C5DCE"/>
    <w:rsid w:val="001C5FD0"/>
    <w:rsid w:val="001D1B6F"/>
    <w:rsid w:val="001E07AE"/>
    <w:rsid w:val="001E24CF"/>
    <w:rsid w:val="001E26A1"/>
    <w:rsid w:val="001E43A9"/>
    <w:rsid w:val="001E7462"/>
    <w:rsid w:val="001F07C5"/>
    <w:rsid w:val="001F153D"/>
    <w:rsid w:val="001F25BA"/>
    <w:rsid w:val="001F2DCE"/>
    <w:rsid w:val="001F3809"/>
    <w:rsid w:val="00201DCD"/>
    <w:rsid w:val="00201E2D"/>
    <w:rsid w:val="002038DE"/>
    <w:rsid w:val="0020524C"/>
    <w:rsid w:val="00207CB6"/>
    <w:rsid w:val="00210CB0"/>
    <w:rsid w:val="00212749"/>
    <w:rsid w:val="0021307E"/>
    <w:rsid w:val="002173F3"/>
    <w:rsid w:val="00224D53"/>
    <w:rsid w:val="002254E0"/>
    <w:rsid w:val="002340DA"/>
    <w:rsid w:val="00234CA9"/>
    <w:rsid w:val="00235E67"/>
    <w:rsid w:val="00236111"/>
    <w:rsid w:val="00236509"/>
    <w:rsid w:val="002366EF"/>
    <w:rsid w:val="00242708"/>
    <w:rsid w:val="00242D58"/>
    <w:rsid w:val="0024489E"/>
    <w:rsid w:val="002456E2"/>
    <w:rsid w:val="002460AC"/>
    <w:rsid w:val="002513A7"/>
    <w:rsid w:val="00252DFC"/>
    <w:rsid w:val="00253833"/>
    <w:rsid w:val="00256446"/>
    <w:rsid w:val="002603AD"/>
    <w:rsid w:val="002609EC"/>
    <w:rsid w:val="00261726"/>
    <w:rsid w:val="002626D7"/>
    <w:rsid w:val="00263253"/>
    <w:rsid w:val="0026495E"/>
    <w:rsid w:val="00265F70"/>
    <w:rsid w:val="00267367"/>
    <w:rsid w:val="00271ADB"/>
    <w:rsid w:val="002725DD"/>
    <w:rsid w:val="0027390C"/>
    <w:rsid w:val="002739C4"/>
    <w:rsid w:val="00273F19"/>
    <w:rsid w:val="00280BAD"/>
    <w:rsid w:val="0028240F"/>
    <w:rsid w:val="002849A1"/>
    <w:rsid w:val="00285C1A"/>
    <w:rsid w:val="00286D6F"/>
    <w:rsid w:val="002877CD"/>
    <w:rsid w:val="00287B50"/>
    <w:rsid w:val="00287B65"/>
    <w:rsid w:val="00291465"/>
    <w:rsid w:val="00293E4F"/>
    <w:rsid w:val="00294224"/>
    <w:rsid w:val="002965E5"/>
    <w:rsid w:val="002B0D7F"/>
    <w:rsid w:val="002B11B9"/>
    <w:rsid w:val="002B7295"/>
    <w:rsid w:val="002B7711"/>
    <w:rsid w:val="002C4997"/>
    <w:rsid w:val="002D2414"/>
    <w:rsid w:val="002D53DB"/>
    <w:rsid w:val="002D7B57"/>
    <w:rsid w:val="002E09E6"/>
    <w:rsid w:val="002E2C3F"/>
    <w:rsid w:val="002E37E9"/>
    <w:rsid w:val="002E6CAE"/>
    <w:rsid w:val="002E7EE8"/>
    <w:rsid w:val="002F004D"/>
    <w:rsid w:val="002F0F04"/>
    <w:rsid w:val="002F2C6A"/>
    <w:rsid w:val="002F44BC"/>
    <w:rsid w:val="002F691F"/>
    <w:rsid w:val="00302C76"/>
    <w:rsid w:val="00303D22"/>
    <w:rsid w:val="0030613E"/>
    <w:rsid w:val="003132B3"/>
    <w:rsid w:val="00321E6F"/>
    <w:rsid w:val="0032377B"/>
    <w:rsid w:val="00323CA4"/>
    <w:rsid w:val="00324697"/>
    <w:rsid w:val="00326B98"/>
    <w:rsid w:val="00331D92"/>
    <w:rsid w:val="0033389F"/>
    <w:rsid w:val="00335983"/>
    <w:rsid w:val="00335FE6"/>
    <w:rsid w:val="0033647D"/>
    <w:rsid w:val="00336E04"/>
    <w:rsid w:val="00337F44"/>
    <w:rsid w:val="00340A38"/>
    <w:rsid w:val="003419A4"/>
    <w:rsid w:val="00343E89"/>
    <w:rsid w:val="003462E2"/>
    <w:rsid w:val="00351567"/>
    <w:rsid w:val="00351D40"/>
    <w:rsid w:val="00352F35"/>
    <w:rsid w:val="003532FA"/>
    <w:rsid w:val="003600BC"/>
    <w:rsid w:val="003613CD"/>
    <w:rsid w:val="003633A3"/>
    <w:rsid w:val="0036415A"/>
    <w:rsid w:val="003644D1"/>
    <w:rsid w:val="00365D2C"/>
    <w:rsid w:val="00365F6E"/>
    <w:rsid w:val="00366375"/>
    <w:rsid w:val="0036689C"/>
    <w:rsid w:val="00366CAB"/>
    <w:rsid w:val="00371B74"/>
    <w:rsid w:val="00372320"/>
    <w:rsid w:val="00372488"/>
    <w:rsid w:val="003740E9"/>
    <w:rsid w:val="003766A6"/>
    <w:rsid w:val="00377461"/>
    <w:rsid w:val="0038038C"/>
    <w:rsid w:val="00380611"/>
    <w:rsid w:val="00383FAE"/>
    <w:rsid w:val="00384F68"/>
    <w:rsid w:val="003853AB"/>
    <w:rsid w:val="0038776E"/>
    <w:rsid w:val="00391C79"/>
    <w:rsid w:val="003924A5"/>
    <w:rsid w:val="003931B2"/>
    <w:rsid w:val="003936E8"/>
    <w:rsid w:val="00393EBE"/>
    <w:rsid w:val="00397E31"/>
    <w:rsid w:val="003A27CE"/>
    <w:rsid w:val="003A3224"/>
    <w:rsid w:val="003A3DAF"/>
    <w:rsid w:val="003A51E2"/>
    <w:rsid w:val="003A55CE"/>
    <w:rsid w:val="003A5CE4"/>
    <w:rsid w:val="003A66CB"/>
    <w:rsid w:val="003B0156"/>
    <w:rsid w:val="003B06F3"/>
    <w:rsid w:val="003B0EF4"/>
    <w:rsid w:val="003B27CB"/>
    <w:rsid w:val="003B5ABF"/>
    <w:rsid w:val="003C0391"/>
    <w:rsid w:val="003C0960"/>
    <w:rsid w:val="003C2C8A"/>
    <w:rsid w:val="003C69DB"/>
    <w:rsid w:val="003C707B"/>
    <w:rsid w:val="003C7F0E"/>
    <w:rsid w:val="003F237E"/>
    <w:rsid w:val="003F283C"/>
    <w:rsid w:val="003F2FB5"/>
    <w:rsid w:val="003F3337"/>
    <w:rsid w:val="003F3DA4"/>
    <w:rsid w:val="003F6B50"/>
    <w:rsid w:val="003F6BC8"/>
    <w:rsid w:val="003F79D5"/>
    <w:rsid w:val="003F7A63"/>
    <w:rsid w:val="004011D4"/>
    <w:rsid w:val="00403497"/>
    <w:rsid w:val="00403E7A"/>
    <w:rsid w:val="00405871"/>
    <w:rsid w:val="004171F0"/>
    <w:rsid w:val="004178A8"/>
    <w:rsid w:val="0042224C"/>
    <w:rsid w:val="00432022"/>
    <w:rsid w:val="00432E53"/>
    <w:rsid w:val="00433D14"/>
    <w:rsid w:val="0044526C"/>
    <w:rsid w:val="00445CDF"/>
    <w:rsid w:val="00447616"/>
    <w:rsid w:val="00462B37"/>
    <w:rsid w:val="00462E89"/>
    <w:rsid w:val="00463775"/>
    <w:rsid w:val="0046583C"/>
    <w:rsid w:val="00467512"/>
    <w:rsid w:val="00470E04"/>
    <w:rsid w:val="004768D7"/>
    <w:rsid w:val="00480D60"/>
    <w:rsid w:val="00482E3E"/>
    <w:rsid w:val="00484E17"/>
    <w:rsid w:val="00486702"/>
    <w:rsid w:val="00492A6D"/>
    <w:rsid w:val="0049512F"/>
    <w:rsid w:val="004963C6"/>
    <w:rsid w:val="00497A52"/>
    <w:rsid w:val="004A39E8"/>
    <w:rsid w:val="004A401E"/>
    <w:rsid w:val="004B1530"/>
    <w:rsid w:val="004B22D7"/>
    <w:rsid w:val="004B2945"/>
    <w:rsid w:val="004C459C"/>
    <w:rsid w:val="004C5351"/>
    <w:rsid w:val="004D1CEA"/>
    <w:rsid w:val="004D4FC1"/>
    <w:rsid w:val="004D7F9B"/>
    <w:rsid w:val="004E1425"/>
    <w:rsid w:val="004E213D"/>
    <w:rsid w:val="004E2464"/>
    <w:rsid w:val="004E58B4"/>
    <w:rsid w:val="004F4117"/>
    <w:rsid w:val="004F5A5D"/>
    <w:rsid w:val="005013F9"/>
    <w:rsid w:val="00502245"/>
    <w:rsid w:val="005065CA"/>
    <w:rsid w:val="0052113B"/>
    <w:rsid w:val="005235D3"/>
    <w:rsid w:val="005273A7"/>
    <w:rsid w:val="00532632"/>
    <w:rsid w:val="00534954"/>
    <w:rsid w:val="0054041F"/>
    <w:rsid w:val="00543413"/>
    <w:rsid w:val="005446BE"/>
    <w:rsid w:val="00546458"/>
    <w:rsid w:val="00560D7A"/>
    <w:rsid w:val="00562C6F"/>
    <w:rsid w:val="0056491A"/>
    <w:rsid w:val="0057041A"/>
    <w:rsid w:val="005721C1"/>
    <w:rsid w:val="00574229"/>
    <w:rsid w:val="00574C71"/>
    <w:rsid w:val="0057510F"/>
    <w:rsid w:val="00581076"/>
    <w:rsid w:val="0058286F"/>
    <w:rsid w:val="00583F29"/>
    <w:rsid w:val="00584551"/>
    <w:rsid w:val="00585BCF"/>
    <w:rsid w:val="005875B4"/>
    <w:rsid w:val="00590BA0"/>
    <w:rsid w:val="00594856"/>
    <w:rsid w:val="00594B55"/>
    <w:rsid w:val="00595F35"/>
    <w:rsid w:val="00597F15"/>
    <w:rsid w:val="005A4777"/>
    <w:rsid w:val="005A5E35"/>
    <w:rsid w:val="005A76C8"/>
    <w:rsid w:val="005B02E9"/>
    <w:rsid w:val="005B2E70"/>
    <w:rsid w:val="005B4590"/>
    <w:rsid w:val="005C4320"/>
    <w:rsid w:val="005C462E"/>
    <w:rsid w:val="005C53FD"/>
    <w:rsid w:val="005C5F49"/>
    <w:rsid w:val="005C70F9"/>
    <w:rsid w:val="005D25BB"/>
    <w:rsid w:val="005D269B"/>
    <w:rsid w:val="005D3B7E"/>
    <w:rsid w:val="005D5F0B"/>
    <w:rsid w:val="005D61D3"/>
    <w:rsid w:val="005D764E"/>
    <w:rsid w:val="005E0072"/>
    <w:rsid w:val="005E0085"/>
    <w:rsid w:val="005E0EEC"/>
    <w:rsid w:val="005E1B48"/>
    <w:rsid w:val="005E345C"/>
    <w:rsid w:val="005E354F"/>
    <w:rsid w:val="005E3A83"/>
    <w:rsid w:val="005E4B6D"/>
    <w:rsid w:val="005E5992"/>
    <w:rsid w:val="00601E76"/>
    <w:rsid w:val="0060419C"/>
    <w:rsid w:val="00616392"/>
    <w:rsid w:val="006177DC"/>
    <w:rsid w:val="00617B66"/>
    <w:rsid w:val="00621857"/>
    <w:rsid w:val="00622D78"/>
    <w:rsid w:val="006239C8"/>
    <w:rsid w:val="00623D39"/>
    <w:rsid w:val="006265AA"/>
    <w:rsid w:val="00627468"/>
    <w:rsid w:val="006310A7"/>
    <w:rsid w:val="00631994"/>
    <w:rsid w:val="00633BC5"/>
    <w:rsid w:val="00637D47"/>
    <w:rsid w:val="00642715"/>
    <w:rsid w:val="006436AC"/>
    <w:rsid w:val="006464C3"/>
    <w:rsid w:val="00656ABC"/>
    <w:rsid w:val="00660370"/>
    <w:rsid w:val="0066150D"/>
    <w:rsid w:val="006643EE"/>
    <w:rsid w:val="00664C74"/>
    <w:rsid w:val="00665EB6"/>
    <w:rsid w:val="00670449"/>
    <w:rsid w:val="0067098D"/>
    <w:rsid w:val="00673581"/>
    <w:rsid w:val="006740A1"/>
    <w:rsid w:val="00683D23"/>
    <w:rsid w:val="006840C6"/>
    <w:rsid w:val="006875AE"/>
    <w:rsid w:val="006878E3"/>
    <w:rsid w:val="00694231"/>
    <w:rsid w:val="00694A9C"/>
    <w:rsid w:val="0069667D"/>
    <w:rsid w:val="00696A0B"/>
    <w:rsid w:val="00697147"/>
    <w:rsid w:val="00697EFC"/>
    <w:rsid w:val="006A0081"/>
    <w:rsid w:val="006A1BBC"/>
    <w:rsid w:val="006A2288"/>
    <w:rsid w:val="006A75D3"/>
    <w:rsid w:val="006B21CD"/>
    <w:rsid w:val="006B38F7"/>
    <w:rsid w:val="006B45A6"/>
    <w:rsid w:val="006B4678"/>
    <w:rsid w:val="006B47CB"/>
    <w:rsid w:val="006B526C"/>
    <w:rsid w:val="006B534A"/>
    <w:rsid w:val="006B5F70"/>
    <w:rsid w:val="006B6D05"/>
    <w:rsid w:val="006B719B"/>
    <w:rsid w:val="006C0AE0"/>
    <w:rsid w:val="006C0D0D"/>
    <w:rsid w:val="006C2801"/>
    <w:rsid w:val="006C549E"/>
    <w:rsid w:val="006D1409"/>
    <w:rsid w:val="006D2ECB"/>
    <w:rsid w:val="006D308A"/>
    <w:rsid w:val="006D4DE7"/>
    <w:rsid w:val="006D546B"/>
    <w:rsid w:val="006D5F55"/>
    <w:rsid w:val="006D6C40"/>
    <w:rsid w:val="006D7E46"/>
    <w:rsid w:val="006E1F49"/>
    <w:rsid w:val="006E2A25"/>
    <w:rsid w:val="006E2DEE"/>
    <w:rsid w:val="006E2FD7"/>
    <w:rsid w:val="006E626E"/>
    <w:rsid w:val="006E68DB"/>
    <w:rsid w:val="006F0110"/>
    <w:rsid w:val="006F3FE0"/>
    <w:rsid w:val="007026FF"/>
    <w:rsid w:val="00704C40"/>
    <w:rsid w:val="0070579E"/>
    <w:rsid w:val="00706E2B"/>
    <w:rsid w:val="00707C49"/>
    <w:rsid w:val="00711067"/>
    <w:rsid w:val="00713FB1"/>
    <w:rsid w:val="00716282"/>
    <w:rsid w:val="00722F0E"/>
    <w:rsid w:val="00724498"/>
    <w:rsid w:val="007250D7"/>
    <w:rsid w:val="007309C1"/>
    <w:rsid w:val="00735AC7"/>
    <w:rsid w:val="00737714"/>
    <w:rsid w:val="00744410"/>
    <w:rsid w:val="0074446E"/>
    <w:rsid w:val="00745D9C"/>
    <w:rsid w:val="00746DEE"/>
    <w:rsid w:val="007475F8"/>
    <w:rsid w:val="0074795C"/>
    <w:rsid w:val="007535F8"/>
    <w:rsid w:val="00753759"/>
    <w:rsid w:val="007557DC"/>
    <w:rsid w:val="00760745"/>
    <w:rsid w:val="00762421"/>
    <w:rsid w:val="00762B82"/>
    <w:rsid w:val="007662E1"/>
    <w:rsid w:val="007714ED"/>
    <w:rsid w:val="00772448"/>
    <w:rsid w:val="007779EE"/>
    <w:rsid w:val="00780643"/>
    <w:rsid w:val="00781185"/>
    <w:rsid w:val="0078571E"/>
    <w:rsid w:val="00787590"/>
    <w:rsid w:val="007912F9"/>
    <w:rsid w:val="007915AA"/>
    <w:rsid w:val="0079212C"/>
    <w:rsid w:val="0079402E"/>
    <w:rsid w:val="007A6CCD"/>
    <w:rsid w:val="007B216E"/>
    <w:rsid w:val="007B2547"/>
    <w:rsid w:val="007B45D6"/>
    <w:rsid w:val="007B56B4"/>
    <w:rsid w:val="007B5E32"/>
    <w:rsid w:val="007B6B5E"/>
    <w:rsid w:val="007C145C"/>
    <w:rsid w:val="007C1DD7"/>
    <w:rsid w:val="007C20AE"/>
    <w:rsid w:val="007C4C27"/>
    <w:rsid w:val="007D2818"/>
    <w:rsid w:val="007E0BC5"/>
    <w:rsid w:val="007E7346"/>
    <w:rsid w:val="007F0D7B"/>
    <w:rsid w:val="007F0F20"/>
    <w:rsid w:val="007F2767"/>
    <w:rsid w:val="007F28AE"/>
    <w:rsid w:val="007F743D"/>
    <w:rsid w:val="00802A54"/>
    <w:rsid w:val="00803572"/>
    <w:rsid w:val="00805C0B"/>
    <w:rsid w:val="008130D0"/>
    <w:rsid w:val="00814BE1"/>
    <w:rsid w:val="00814DD2"/>
    <w:rsid w:val="00816920"/>
    <w:rsid w:val="00820F81"/>
    <w:rsid w:val="00825E8B"/>
    <w:rsid w:val="00827EF2"/>
    <w:rsid w:val="0083087D"/>
    <w:rsid w:val="008315F5"/>
    <w:rsid w:val="00832A2A"/>
    <w:rsid w:val="008340B3"/>
    <w:rsid w:val="008343DE"/>
    <w:rsid w:val="00835211"/>
    <w:rsid w:val="00835A32"/>
    <w:rsid w:val="00837B5E"/>
    <w:rsid w:val="00837D03"/>
    <w:rsid w:val="0084261A"/>
    <w:rsid w:val="008442CC"/>
    <w:rsid w:val="00852814"/>
    <w:rsid w:val="00854CEA"/>
    <w:rsid w:val="00855846"/>
    <w:rsid w:val="008560C7"/>
    <w:rsid w:val="008569EE"/>
    <w:rsid w:val="00861640"/>
    <w:rsid w:val="00870561"/>
    <w:rsid w:val="00870DA6"/>
    <w:rsid w:val="008711A3"/>
    <w:rsid w:val="00875BF1"/>
    <w:rsid w:val="00877C81"/>
    <w:rsid w:val="00882771"/>
    <w:rsid w:val="00883A38"/>
    <w:rsid w:val="008847B1"/>
    <w:rsid w:val="00886F88"/>
    <w:rsid w:val="008A1A54"/>
    <w:rsid w:val="008A3CCC"/>
    <w:rsid w:val="008A5979"/>
    <w:rsid w:val="008A6DFA"/>
    <w:rsid w:val="008A786A"/>
    <w:rsid w:val="008B1E4B"/>
    <w:rsid w:val="008B3948"/>
    <w:rsid w:val="008B3CE4"/>
    <w:rsid w:val="008B474E"/>
    <w:rsid w:val="008B5EB2"/>
    <w:rsid w:val="008C1B27"/>
    <w:rsid w:val="008C6E06"/>
    <w:rsid w:val="008C6EEA"/>
    <w:rsid w:val="008C769A"/>
    <w:rsid w:val="008D0F45"/>
    <w:rsid w:val="008D225D"/>
    <w:rsid w:val="008D357A"/>
    <w:rsid w:val="008D4560"/>
    <w:rsid w:val="008D46DA"/>
    <w:rsid w:val="008D7B3A"/>
    <w:rsid w:val="008E216F"/>
    <w:rsid w:val="008E41C2"/>
    <w:rsid w:val="008E64A7"/>
    <w:rsid w:val="008E7221"/>
    <w:rsid w:val="008E7826"/>
    <w:rsid w:val="008F167F"/>
    <w:rsid w:val="008F2B98"/>
    <w:rsid w:val="008F2DDD"/>
    <w:rsid w:val="008F3D9B"/>
    <w:rsid w:val="008F5876"/>
    <w:rsid w:val="00903964"/>
    <w:rsid w:val="00903E22"/>
    <w:rsid w:val="00905A61"/>
    <w:rsid w:val="00906D41"/>
    <w:rsid w:val="009100BC"/>
    <w:rsid w:val="00911052"/>
    <w:rsid w:val="0091233B"/>
    <w:rsid w:val="00915102"/>
    <w:rsid w:val="00915E31"/>
    <w:rsid w:val="00917377"/>
    <w:rsid w:val="009173F2"/>
    <w:rsid w:val="009201FF"/>
    <w:rsid w:val="00921DDA"/>
    <w:rsid w:val="009228D7"/>
    <w:rsid w:val="009336E6"/>
    <w:rsid w:val="009337D0"/>
    <w:rsid w:val="00933F64"/>
    <w:rsid w:val="009351B3"/>
    <w:rsid w:val="00936A3F"/>
    <w:rsid w:val="00937A0E"/>
    <w:rsid w:val="00937D16"/>
    <w:rsid w:val="0094199D"/>
    <w:rsid w:val="0094295F"/>
    <w:rsid w:val="00944C3D"/>
    <w:rsid w:val="0095143F"/>
    <w:rsid w:val="00952414"/>
    <w:rsid w:val="00952F6D"/>
    <w:rsid w:val="0095363B"/>
    <w:rsid w:val="00954CC2"/>
    <w:rsid w:val="00961910"/>
    <w:rsid w:val="0096257A"/>
    <w:rsid w:val="0096343E"/>
    <w:rsid w:val="00964AA7"/>
    <w:rsid w:val="009831B3"/>
    <w:rsid w:val="0098330A"/>
    <w:rsid w:val="00983636"/>
    <w:rsid w:val="00983E8C"/>
    <w:rsid w:val="00984476"/>
    <w:rsid w:val="00984746"/>
    <w:rsid w:val="00985DB0"/>
    <w:rsid w:val="009867E0"/>
    <w:rsid w:val="00987893"/>
    <w:rsid w:val="00991148"/>
    <w:rsid w:val="00991E78"/>
    <w:rsid w:val="00994F2A"/>
    <w:rsid w:val="009A098E"/>
    <w:rsid w:val="009A4DFB"/>
    <w:rsid w:val="009A5800"/>
    <w:rsid w:val="009A6928"/>
    <w:rsid w:val="009A756C"/>
    <w:rsid w:val="009B3BE7"/>
    <w:rsid w:val="009B6EF0"/>
    <w:rsid w:val="009C1726"/>
    <w:rsid w:val="009C3040"/>
    <w:rsid w:val="009C4C58"/>
    <w:rsid w:val="009C4CA2"/>
    <w:rsid w:val="009C68B8"/>
    <w:rsid w:val="009C6CAF"/>
    <w:rsid w:val="009D0263"/>
    <w:rsid w:val="009D1F7B"/>
    <w:rsid w:val="009D2B3A"/>
    <w:rsid w:val="009D4457"/>
    <w:rsid w:val="009D54DB"/>
    <w:rsid w:val="009E263C"/>
    <w:rsid w:val="009E5304"/>
    <w:rsid w:val="009E5F50"/>
    <w:rsid w:val="009E6E02"/>
    <w:rsid w:val="009F12F8"/>
    <w:rsid w:val="009F1794"/>
    <w:rsid w:val="009F39CC"/>
    <w:rsid w:val="009F3ED4"/>
    <w:rsid w:val="009F3FEC"/>
    <w:rsid w:val="009F4400"/>
    <w:rsid w:val="009F4FF1"/>
    <w:rsid w:val="00A007E0"/>
    <w:rsid w:val="00A01D65"/>
    <w:rsid w:val="00A04973"/>
    <w:rsid w:val="00A059E0"/>
    <w:rsid w:val="00A06A79"/>
    <w:rsid w:val="00A11CCC"/>
    <w:rsid w:val="00A173E2"/>
    <w:rsid w:val="00A23A57"/>
    <w:rsid w:val="00A25527"/>
    <w:rsid w:val="00A311F3"/>
    <w:rsid w:val="00A32E0E"/>
    <w:rsid w:val="00A33904"/>
    <w:rsid w:val="00A373AF"/>
    <w:rsid w:val="00A438A1"/>
    <w:rsid w:val="00A446B8"/>
    <w:rsid w:val="00A4535B"/>
    <w:rsid w:val="00A50F46"/>
    <w:rsid w:val="00A51ABF"/>
    <w:rsid w:val="00A531E9"/>
    <w:rsid w:val="00A560DE"/>
    <w:rsid w:val="00A62492"/>
    <w:rsid w:val="00A62505"/>
    <w:rsid w:val="00A62ACE"/>
    <w:rsid w:val="00A63EEF"/>
    <w:rsid w:val="00A645CC"/>
    <w:rsid w:val="00A65569"/>
    <w:rsid w:val="00A7385A"/>
    <w:rsid w:val="00A80431"/>
    <w:rsid w:val="00A81A0C"/>
    <w:rsid w:val="00A8276C"/>
    <w:rsid w:val="00A8329E"/>
    <w:rsid w:val="00A84E2B"/>
    <w:rsid w:val="00A86F18"/>
    <w:rsid w:val="00A92BD3"/>
    <w:rsid w:val="00A97B2A"/>
    <w:rsid w:val="00AA0955"/>
    <w:rsid w:val="00AA15CD"/>
    <w:rsid w:val="00AA327E"/>
    <w:rsid w:val="00AA348F"/>
    <w:rsid w:val="00AA42C6"/>
    <w:rsid w:val="00AA6FDC"/>
    <w:rsid w:val="00AB107C"/>
    <w:rsid w:val="00AB153C"/>
    <w:rsid w:val="00AB25A9"/>
    <w:rsid w:val="00AB2DC0"/>
    <w:rsid w:val="00AB6FB1"/>
    <w:rsid w:val="00AB7F29"/>
    <w:rsid w:val="00AC03F2"/>
    <w:rsid w:val="00AC6EC6"/>
    <w:rsid w:val="00AD384E"/>
    <w:rsid w:val="00AD3BF2"/>
    <w:rsid w:val="00AD621F"/>
    <w:rsid w:val="00AD6A89"/>
    <w:rsid w:val="00AE5C02"/>
    <w:rsid w:val="00AE67A3"/>
    <w:rsid w:val="00AE7709"/>
    <w:rsid w:val="00AF427F"/>
    <w:rsid w:val="00AF42D9"/>
    <w:rsid w:val="00AF697E"/>
    <w:rsid w:val="00B00682"/>
    <w:rsid w:val="00B00968"/>
    <w:rsid w:val="00B00D31"/>
    <w:rsid w:val="00B05C21"/>
    <w:rsid w:val="00B06078"/>
    <w:rsid w:val="00B10577"/>
    <w:rsid w:val="00B12069"/>
    <w:rsid w:val="00B12390"/>
    <w:rsid w:val="00B12502"/>
    <w:rsid w:val="00B1784D"/>
    <w:rsid w:val="00B20BFD"/>
    <w:rsid w:val="00B22E79"/>
    <w:rsid w:val="00B24088"/>
    <w:rsid w:val="00B2500E"/>
    <w:rsid w:val="00B25362"/>
    <w:rsid w:val="00B3038C"/>
    <w:rsid w:val="00B31170"/>
    <w:rsid w:val="00B36980"/>
    <w:rsid w:val="00B3777F"/>
    <w:rsid w:val="00B40E34"/>
    <w:rsid w:val="00B41F60"/>
    <w:rsid w:val="00B42C2E"/>
    <w:rsid w:val="00B446A3"/>
    <w:rsid w:val="00B47E47"/>
    <w:rsid w:val="00B5055E"/>
    <w:rsid w:val="00B51777"/>
    <w:rsid w:val="00B51C5F"/>
    <w:rsid w:val="00B5434F"/>
    <w:rsid w:val="00B5477A"/>
    <w:rsid w:val="00B56578"/>
    <w:rsid w:val="00B57CB2"/>
    <w:rsid w:val="00B57EA2"/>
    <w:rsid w:val="00B601C9"/>
    <w:rsid w:val="00B604D4"/>
    <w:rsid w:val="00B65936"/>
    <w:rsid w:val="00B6605C"/>
    <w:rsid w:val="00B66177"/>
    <w:rsid w:val="00B661FD"/>
    <w:rsid w:val="00B66FEE"/>
    <w:rsid w:val="00B70A6D"/>
    <w:rsid w:val="00B71C0F"/>
    <w:rsid w:val="00B75329"/>
    <w:rsid w:val="00B7678C"/>
    <w:rsid w:val="00B775D1"/>
    <w:rsid w:val="00B80C77"/>
    <w:rsid w:val="00B81D17"/>
    <w:rsid w:val="00B83DC3"/>
    <w:rsid w:val="00B86A23"/>
    <w:rsid w:val="00B9575C"/>
    <w:rsid w:val="00B95945"/>
    <w:rsid w:val="00BA191A"/>
    <w:rsid w:val="00BA44AE"/>
    <w:rsid w:val="00BA4621"/>
    <w:rsid w:val="00BA538D"/>
    <w:rsid w:val="00BA5C9D"/>
    <w:rsid w:val="00BA5D70"/>
    <w:rsid w:val="00BA6E9B"/>
    <w:rsid w:val="00BB1C99"/>
    <w:rsid w:val="00BB36A7"/>
    <w:rsid w:val="00BB5BDA"/>
    <w:rsid w:val="00BB6075"/>
    <w:rsid w:val="00BB7A42"/>
    <w:rsid w:val="00BC065F"/>
    <w:rsid w:val="00BC1298"/>
    <w:rsid w:val="00BC149A"/>
    <w:rsid w:val="00BC2306"/>
    <w:rsid w:val="00BC2A7E"/>
    <w:rsid w:val="00BC6075"/>
    <w:rsid w:val="00BD03F7"/>
    <w:rsid w:val="00BD15A2"/>
    <w:rsid w:val="00BD17E0"/>
    <w:rsid w:val="00BE327B"/>
    <w:rsid w:val="00BE362B"/>
    <w:rsid w:val="00BE777D"/>
    <w:rsid w:val="00BF0324"/>
    <w:rsid w:val="00BF340A"/>
    <w:rsid w:val="00BF730A"/>
    <w:rsid w:val="00C0085D"/>
    <w:rsid w:val="00C02271"/>
    <w:rsid w:val="00C02EC0"/>
    <w:rsid w:val="00C066AD"/>
    <w:rsid w:val="00C17058"/>
    <w:rsid w:val="00C173D1"/>
    <w:rsid w:val="00C22AF2"/>
    <w:rsid w:val="00C22BB1"/>
    <w:rsid w:val="00C23887"/>
    <w:rsid w:val="00C25720"/>
    <w:rsid w:val="00C27AB1"/>
    <w:rsid w:val="00C3004A"/>
    <w:rsid w:val="00C37B7E"/>
    <w:rsid w:val="00C40EDD"/>
    <w:rsid w:val="00C41121"/>
    <w:rsid w:val="00C41CD6"/>
    <w:rsid w:val="00C42854"/>
    <w:rsid w:val="00C42C61"/>
    <w:rsid w:val="00C43033"/>
    <w:rsid w:val="00C4338F"/>
    <w:rsid w:val="00C438A3"/>
    <w:rsid w:val="00C4605B"/>
    <w:rsid w:val="00C476D2"/>
    <w:rsid w:val="00C518A9"/>
    <w:rsid w:val="00C538FF"/>
    <w:rsid w:val="00C55932"/>
    <w:rsid w:val="00C5618F"/>
    <w:rsid w:val="00C662D0"/>
    <w:rsid w:val="00C7005D"/>
    <w:rsid w:val="00C71357"/>
    <w:rsid w:val="00C718AA"/>
    <w:rsid w:val="00C7206A"/>
    <w:rsid w:val="00C747AA"/>
    <w:rsid w:val="00C7508B"/>
    <w:rsid w:val="00C8214B"/>
    <w:rsid w:val="00C86BBF"/>
    <w:rsid w:val="00C87B35"/>
    <w:rsid w:val="00C90CFB"/>
    <w:rsid w:val="00C912C0"/>
    <w:rsid w:val="00C9223F"/>
    <w:rsid w:val="00C92299"/>
    <w:rsid w:val="00C9638B"/>
    <w:rsid w:val="00CA0E55"/>
    <w:rsid w:val="00CA2EF3"/>
    <w:rsid w:val="00CB05D5"/>
    <w:rsid w:val="00CB2D10"/>
    <w:rsid w:val="00CB4CE2"/>
    <w:rsid w:val="00CD17FB"/>
    <w:rsid w:val="00CD1F4A"/>
    <w:rsid w:val="00CD2130"/>
    <w:rsid w:val="00CD5B46"/>
    <w:rsid w:val="00CD77BE"/>
    <w:rsid w:val="00CE26F0"/>
    <w:rsid w:val="00CF5D9D"/>
    <w:rsid w:val="00CF6CE2"/>
    <w:rsid w:val="00CF7B5A"/>
    <w:rsid w:val="00D00E2D"/>
    <w:rsid w:val="00D02AB2"/>
    <w:rsid w:val="00D06678"/>
    <w:rsid w:val="00D06D18"/>
    <w:rsid w:val="00D10944"/>
    <w:rsid w:val="00D12D7B"/>
    <w:rsid w:val="00D13220"/>
    <w:rsid w:val="00D15CD2"/>
    <w:rsid w:val="00D22BF3"/>
    <w:rsid w:val="00D24517"/>
    <w:rsid w:val="00D25EEC"/>
    <w:rsid w:val="00D27CAC"/>
    <w:rsid w:val="00D343C2"/>
    <w:rsid w:val="00D37D8F"/>
    <w:rsid w:val="00D40E3E"/>
    <w:rsid w:val="00D459C1"/>
    <w:rsid w:val="00D5034B"/>
    <w:rsid w:val="00D50A43"/>
    <w:rsid w:val="00D51A43"/>
    <w:rsid w:val="00D531C2"/>
    <w:rsid w:val="00D53A5F"/>
    <w:rsid w:val="00D57F3C"/>
    <w:rsid w:val="00D605F3"/>
    <w:rsid w:val="00D641FE"/>
    <w:rsid w:val="00D7370C"/>
    <w:rsid w:val="00D7415E"/>
    <w:rsid w:val="00D767DE"/>
    <w:rsid w:val="00D80ABB"/>
    <w:rsid w:val="00D81D98"/>
    <w:rsid w:val="00D823B4"/>
    <w:rsid w:val="00D827CA"/>
    <w:rsid w:val="00D83220"/>
    <w:rsid w:val="00D8358B"/>
    <w:rsid w:val="00D83D82"/>
    <w:rsid w:val="00D900E7"/>
    <w:rsid w:val="00D927BC"/>
    <w:rsid w:val="00D93256"/>
    <w:rsid w:val="00D9746E"/>
    <w:rsid w:val="00DA082F"/>
    <w:rsid w:val="00DA2ED5"/>
    <w:rsid w:val="00DA5104"/>
    <w:rsid w:val="00DA619B"/>
    <w:rsid w:val="00DB11A9"/>
    <w:rsid w:val="00DB1DAB"/>
    <w:rsid w:val="00DB42D2"/>
    <w:rsid w:val="00DB4BD9"/>
    <w:rsid w:val="00DB562C"/>
    <w:rsid w:val="00DB5881"/>
    <w:rsid w:val="00DC2A9F"/>
    <w:rsid w:val="00DC4DB2"/>
    <w:rsid w:val="00DC5168"/>
    <w:rsid w:val="00DC715E"/>
    <w:rsid w:val="00DD1B69"/>
    <w:rsid w:val="00DD2E1C"/>
    <w:rsid w:val="00DD3416"/>
    <w:rsid w:val="00DD36F1"/>
    <w:rsid w:val="00DD6D1D"/>
    <w:rsid w:val="00DE495F"/>
    <w:rsid w:val="00DE51F7"/>
    <w:rsid w:val="00DF074B"/>
    <w:rsid w:val="00DF1BEA"/>
    <w:rsid w:val="00DF47F8"/>
    <w:rsid w:val="00DF5FA8"/>
    <w:rsid w:val="00E02510"/>
    <w:rsid w:val="00E047F6"/>
    <w:rsid w:val="00E077BD"/>
    <w:rsid w:val="00E14AEA"/>
    <w:rsid w:val="00E14C1D"/>
    <w:rsid w:val="00E15C1E"/>
    <w:rsid w:val="00E16420"/>
    <w:rsid w:val="00E1700B"/>
    <w:rsid w:val="00E21F10"/>
    <w:rsid w:val="00E222AE"/>
    <w:rsid w:val="00E22D70"/>
    <w:rsid w:val="00E23B58"/>
    <w:rsid w:val="00E328B0"/>
    <w:rsid w:val="00E36BC2"/>
    <w:rsid w:val="00E438F9"/>
    <w:rsid w:val="00E453C5"/>
    <w:rsid w:val="00E46AA6"/>
    <w:rsid w:val="00E475D0"/>
    <w:rsid w:val="00E50FDC"/>
    <w:rsid w:val="00E52176"/>
    <w:rsid w:val="00E535B2"/>
    <w:rsid w:val="00E536A0"/>
    <w:rsid w:val="00E55C61"/>
    <w:rsid w:val="00E56EC4"/>
    <w:rsid w:val="00E61091"/>
    <w:rsid w:val="00E62EFE"/>
    <w:rsid w:val="00E66C87"/>
    <w:rsid w:val="00E705EE"/>
    <w:rsid w:val="00E7106E"/>
    <w:rsid w:val="00E7186E"/>
    <w:rsid w:val="00E7505B"/>
    <w:rsid w:val="00E8136E"/>
    <w:rsid w:val="00E831BD"/>
    <w:rsid w:val="00E86E2F"/>
    <w:rsid w:val="00E952A3"/>
    <w:rsid w:val="00E977F3"/>
    <w:rsid w:val="00EA12DE"/>
    <w:rsid w:val="00EA4214"/>
    <w:rsid w:val="00EA53DE"/>
    <w:rsid w:val="00EB01DC"/>
    <w:rsid w:val="00EB4663"/>
    <w:rsid w:val="00EB62DE"/>
    <w:rsid w:val="00EC0676"/>
    <w:rsid w:val="00EC0ED8"/>
    <w:rsid w:val="00EC2F11"/>
    <w:rsid w:val="00EC3351"/>
    <w:rsid w:val="00EC3F51"/>
    <w:rsid w:val="00ED1762"/>
    <w:rsid w:val="00EE3812"/>
    <w:rsid w:val="00EE5235"/>
    <w:rsid w:val="00EE5A67"/>
    <w:rsid w:val="00EE65A5"/>
    <w:rsid w:val="00EE73B3"/>
    <w:rsid w:val="00EE7669"/>
    <w:rsid w:val="00EF2FD7"/>
    <w:rsid w:val="00EF7AE3"/>
    <w:rsid w:val="00F020A1"/>
    <w:rsid w:val="00F02EDC"/>
    <w:rsid w:val="00F046B3"/>
    <w:rsid w:val="00F05C0E"/>
    <w:rsid w:val="00F07C1D"/>
    <w:rsid w:val="00F2226E"/>
    <w:rsid w:val="00F22A10"/>
    <w:rsid w:val="00F23677"/>
    <w:rsid w:val="00F241D8"/>
    <w:rsid w:val="00F259CF"/>
    <w:rsid w:val="00F31B6C"/>
    <w:rsid w:val="00F33985"/>
    <w:rsid w:val="00F374C6"/>
    <w:rsid w:val="00F37560"/>
    <w:rsid w:val="00F37E54"/>
    <w:rsid w:val="00F4147B"/>
    <w:rsid w:val="00F47399"/>
    <w:rsid w:val="00F52B68"/>
    <w:rsid w:val="00F55FB5"/>
    <w:rsid w:val="00F56692"/>
    <w:rsid w:val="00F56A60"/>
    <w:rsid w:val="00F62598"/>
    <w:rsid w:val="00F633A4"/>
    <w:rsid w:val="00F63ECD"/>
    <w:rsid w:val="00F662E9"/>
    <w:rsid w:val="00F67BCC"/>
    <w:rsid w:val="00F7396D"/>
    <w:rsid w:val="00F742C8"/>
    <w:rsid w:val="00F75276"/>
    <w:rsid w:val="00F764D4"/>
    <w:rsid w:val="00F77475"/>
    <w:rsid w:val="00F77865"/>
    <w:rsid w:val="00F8202E"/>
    <w:rsid w:val="00F8295B"/>
    <w:rsid w:val="00F83539"/>
    <w:rsid w:val="00F83FF7"/>
    <w:rsid w:val="00F8487E"/>
    <w:rsid w:val="00F86534"/>
    <w:rsid w:val="00F906CE"/>
    <w:rsid w:val="00F90987"/>
    <w:rsid w:val="00F97351"/>
    <w:rsid w:val="00FA0257"/>
    <w:rsid w:val="00FA1320"/>
    <w:rsid w:val="00FA1FBE"/>
    <w:rsid w:val="00FA2813"/>
    <w:rsid w:val="00FA3D64"/>
    <w:rsid w:val="00FA4E39"/>
    <w:rsid w:val="00FA57A2"/>
    <w:rsid w:val="00FA5FAA"/>
    <w:rsid w:val="00FB35FA"/>
    <w:rsid w:val="00FB45F8"/>
    <w:rsid w:val="00FB788F"/>
    <w:rsid w:val="00FC0BA6"/>
    <w:rsid w:val="00FC1C22"/>
    <w:rsid w:val="00FC4278"/>
    <w:rsid w:val="00FC6FD5"/>
    <w:rsid w:val="00FC7B3F"/>
    <w:rsid w:val="00FC7CDD"/>
    <w:rsid w:val="00FD4886"/>
    <w:rsid w:val="00FD6667"/>
    <w:rsid w:val="00FE2784"/>
    <w:rsid w:val="00FE320C"/>
    <w:rsid w:val="00FE34AD"/>
    <w:rsid w:val="00FE36C2"/>
    <w:rsid w:val="00FE5940"/>
    <w:rsid w:val="00FE6D70"/>
    <w:rsid w:val="00FE7103"/>
    <w:rsid w:val="00FE7378"/>
    <w:rsid w:val="00FE739C"/>
    <w:rsid w:val="00FF21B4"/>
    <w:rsid w:val="00FF25BB"/>
    <w:rsid w:val="00FF590C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09420-0E94-40B9-B71F-0E2F9329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Lunev</cp:lastModifiedBy>
  <cp:revision>2</cp:revision>
  <dcterms:created xsi:type="dcterms:W3CDTF">2019-10-30T13:00:00Z</dcterms:created>
  <dcterms:modified xsi:type="dcterms:W3CDTF">2019-10-30T13:00:00Z</dcterms:modified>
</cp:coreProperties>
</file>